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rPr>
          <w:rFonts w:ascii="仿宋_GB2312" w:eastAsia="仿宋_GB2312"/>
          <w:sz w:val="28"/>
          <w:szCs w:val="28"/>
        </w:rPr>
      </w:pPr>
      <w:r>
        <w:rPr>
          <w:rFonts w:hint="eastAsia" w:ascii="仿宋_GB2312" w:eastAsia="仿宋_GB2312"/>
          <w:sz w:val="28"/>
          <w:szCs w:val="28"/>
        </w:rPr>
        <w:t>附件1：华中</w:t>
      </w:r>
      <w:r>
        <w:rPr>
          <w:rFonts w:ascii="仿宋_GB2312" w:eastAsia="仿宋_GB2312"/>
          <w:sz w:val="28"/>
          <w:szCs w:val="28"/>
        </w:rPr>
        <w:t>师范大学</w:t>
      </w:r>
      <w:r>
        <w:rPr>
          <w:rFonts w:hint="eastAsia" w:ascii="仿宋_GB2312" w:eastAsia="仿宋_GB2312"/>
          <w:sz w:val="28"/>
          <w:szCs w:val="28"/>
        </w:rPr>
        <w:t>第43期</w:t>
      </w:r>
      <w:r>
        <w:rPr>
          <w:rFonts w:ascii="仿宋_GB2312" w:eastAsia="仿宋_GB2312"/>
          <w:sz w:val="28"/>
          <w:szCs w:val="28"/>
        </w:rPr>
        <w:t>预备党员培训</w:t>
      </w:r>
      <w:r>
        <w:rPr>
          <w:rFonts w:hint="eastAsia" w:ascii="仿宋_GB2312" w:eastAsia="仿宋_GB2312"/>
          <w:sz w:val="28"/>
          <w:szCs w:val="28"/>
        </w:rPr>
        <w:t>班课程安排表</w:t>
      </w:r>
    </w:p>
    <w:p>
      <w:pPr>
        <w:keepNext w:val="0"/>
        <w:keepLines w:val="0"/>
        <w:pageBreakBefore w:val="0"/>
        <w:widowControl/>
        <w:kinsoku/>
        <w:wordWrap/>
        <w:overflowPunct/>
        <w:topLinePunct w:val="0"/>
        <w:autoSpaceDE/>
        <w:autoSpaceDN/>
        <w:bidi w:val="0"/>
        <w:adjustRightInd/>
        <w:snapToGrid/>
        <w:spacing w:before="157" w:beforeLines="50" w:after="157" w:afterLines="50" w:line="480" w:lineRule="exact"/>
        <w:ind w:left="0" w:right="105" w:rightChars="50" w:hanging="456" w:hangingChars="152"/>
        <w:jc w:val="center"/>
        <w:textAlignment w:val="auto"/>
        <w:rPr>
          <w:rFonts w:ascii="方正小标宋简体" w:eastAsia="方正小标宋简体"/>
          <w:bCs/>
          <w:color w:val="000000"/>
          <w:sz w:val="30"/>
          <w:szCs w:val="30"/>
        </w:rPr>
      </w:pPr>
      <w:r>
        <w:rPr>
          <w:rFonts w:hint="eastAsia" w:ascii="方正小标宋简体" w:eastAsia="方正小标宋简体"/>
          <w:bCs/>
          <w:color w:val="000000"/>
          <w:sz w:val="30"/>
          <w:szCs w:val="30"/>
        </w:rPr>
        <w:t>第一部分  必修课程列表</w:t>
      </w:r>
    </w:p>
    <w:tbl>
      <w:tblPr>
        <w:tblStyle w:val="4"/>
        <w:tblW w:w="925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4"/>
        <w:gridCol w:w="18"/>
        <w:gridCol w:w="1089"/>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课程名称</w:t>
            </w:r>
          </w:p>
        </w:tc>
        <w:tc>
          <w:tcPr>
            <w:tcW w:w="1089" w:type="dxa"/>
            <w:shd w:val="clear" w:color="auto" w:fill="auto"/>
            <w:vAlign w:val="center"/>
          </w:tcPr>
          <w:p>
            <w:pPr>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主讲人</w:t>
            </w:r>
          </w:p>
        </w:tc>
        <w:tc>
          <w:tcPr>
            <w:tcW w:w="3494" w:type="dxa"/>
            <w:shd w:val="clear" w:color="auto" w:fill="auto"/>
            <w:vAlign w:val="center"/>
          </w:tcPr>
          <w:p>
            <w:pPr>
              <w:jc w:val="center"/>
              <w:textAlignment w:val="center"/>
              <w:rPr>
                <w:rFonts w:ascii="仿宋" w:hAnsi="仿宋" w:eastAsia="仿宋" w:cs="仿宋"/>
                <w:b/>
                <w:bCs/>
                <w:kern w:val="0"/>
                <w:sz w:val="24"/>
                <w:szCs w:val="24"/>
              </w:rPr>
            </w:pPr>
            <w:r>
              <w:rPr>
                <w:rFonts w:hint="eastAsia" w:ascii="仿宋" w:hAnsi="仿宋" w:eastAsia="仿宋" w:cs="仿宋"/>
                <w:b/>
                <w:bCs/>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5" w:type="dxa"/>
            <w:gridSpan w:val="4"/>
            <w:shd w:val="clear" w:color="auto" w:fill="CFCECE" w:themeFill="background2" w:themeFillShade="E5"/>
            <w:vAlign w:val="center"/>
          </w:tcPr>
          <w:p>
            <w:pPr>
              <w:jc w:val="center"/>
              <w:textAlignment w:val="center"/>
              <w:rPr>
                <w:rFonts w:ascii="仿宋" w:hAnsi="仿宋" w:eastAsia="仿宋" w:cs="仿宋"/>
                <w:b/>
                <w:bCs/>
                <w:kern w:val="0"/>
                <w:sz w:val="24"/>
                <w:szCs w:val="24"/>
              </w:rPr>
            </w:pPr>
            <w:r>
              <w:rPr>
                <w:rStyle w:val="6"/>
                <w:b/>
                <w:bCs/>
                <w:kern w:val="0"/>
                <w:sz w:val="24"/>
                <w:szCs w:val="24"/>
              </w:rPr>
              <w:t>（一）政治理论教育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深入学习贯彻习近平总书记在“七一”庆祝中国共产党成立100周年大会上的重要讲话精神</w:t>
            </w:r>
          </w:p>
        </w:tc>
        <w:tc>
          <w:tcPr>
            <w:tcW w:w="1107" w:type="dxa"/>
            <w:gridSpan w:val="2"/>
            <w:shd w:val="clear" w:color="auto" w:fill="auto"/>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刘  春</w:t>
            </w:r>
          </w:p>
        </w:tc>
        <w:tc>
          <w:tcPr>
            <w:tcW w:w="3494" w:type="dxa"/>
            <w:shd w:val="clear" w:color="auto" w:fill="auto"/>
            <w:vAlign w:val="center"/>
          </w:tcPr>
          <w:p>
            <w:pPr>
              <w:widowControl/>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习近平新时代中国特色社会主义思想是党和国家必须长期坚持的指导思想</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专题片</w:t>
            </w:r>
          </w:p>
        </w:tc>
        <w:tc>
          <w:tcPr>
            <w:tcW w:w="3494" w:type="dxa"/>
            <w:shd w:val="clear" w:color="auto" w:fill="auto"/>
            <w:vAlign w:val="center"/>
          </w:tcPr>
          <w:p>
            <w:pPr>
              <w:widowControl/>
              <w:textAlignment w:val="center"/>
              <w:rPr>
                <w:rFonts w:ascii="仿宋" w:hAnsi="仿宋" w:eastAsia="仿宋" w:cs="仿宋"/>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坚持总体国家安全观 走中国特色的国家安全道路</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唐永胜</w:t>
            </w:r>
          </w:p>
        </w:tc>
        <w:tc>
          <w:tcPr>
            <w:tcW w:w="349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国防大学国家安全学院副院长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铸牢中华民族共同体意识与新时代青年担当</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陈丽明</w:t>
            </w:r>
          </w:p>
        </w:tc>
        <w:tc>
          <w:tcPr>
            <w:tcW w:w="349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中央民族大学教师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新时代如何弘扬爱国主义精神</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马振清</w:t>
            </w:r>
          </w:p>
        </w:tc>
        <w:tc>
          <w:tcPr>
            <w:tcW w:w="349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北京师范大学马克思主义学院思想政治教育教研室主任、教授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《共产党宣言》与共产党人的理想信念</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王海滨</w:t>
            </w:r>
          </w:p>
        </w:tc>
        <w:tc>
          <w:tcPr>
            <w:tcW w:w="349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中共中央党校（国家行政学院）副教授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增强树牢“四个意识”、坚定“四个自信”、践行“两个维护”的思想自觉和行动自觉</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秦  强</w:t>
            </w:r>
          </w:p>
        </w:tc>
        <w:tc>
          <w:tcPr>
            <w:tcW w:w="3494" w:type="dxa"/>
            <w:shd w:val="clear" w:color="auto" w:fill="auto"/>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中宣部全国宣传干部学院教研部副主任、研究员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党建领域重大风险及其防范</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李志勇</w:t>
            </w:r>
          </w:p>
        </w:tc>
        <w:tc>
          <w:tcPr>
            <w:tcW w:w="3494" w:type="dxa"/>
            <w:shd w:val="clear" w:color="auto" w:fill="auto"/>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百年变局与中美关系</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金灿荣</w:t>
            </w:r>
          </w:p>
        </w:tc>
        <w:tc>
          <w:tcPr>
            <w:tcW w:w="349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中国人民大学国际关系学院教授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疫情防控治理效能与中国制度优势</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卢黎歌</w:t>
            </w:r>
          </w:p>
        </w:tc>
        <w:tc>
          <w:tcPr>
            <w:tcW w:w="3494" w:type="dxa"/>
            <w:shd w:val="clear" w:color="auto" w:fill="auto"/>
            <w:vAlign w:val="center"/>
          </w:tcPr>
          <w:p>
            <w:pPr>
              <w:widowControl/>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西安交通大学马克思主义学院二级教授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54" w:type="dxa"/>
            <w:shd w:val="clear" w:color="auto" w:fill="auto"/>
            <w:vAlign w:val="center"/>
          </w:tcPr>
          <w:p>
            <w:pPr>
              <w:widowControl/>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bidi="ar"/>
              </w:rPr>
              <w:t>党的十九届五中全会精神解读——“十四五”规划《建议》的重点和亮点</w:t>
            </w:r>
          </w:p>
        </w:tc>
        <w:tc>
          <w:tcPr>
            <w:tcW w:w="1107" w:type="dxa"/>
            <w:gridSpan w:val="2"/>
            <w:shd w:val="clear" w:color="auto" w:fill="auto"/>
            <w:vAlign w:val="center"/>
          </w:tcPr>
          <w:p>
            <w:pPr>
              <w:widowControl/>
              <w:jc w:val="center"/>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bidi="ar"/>
              </w:rPr>
              <w:t>徐洪才</w:t>
            </w:r>
          </w:p>
        </w:tc>
        <w:tc>
          <w:tcPr>
            <w:tcW w:w="3494" w:type="dxa"/>
            <w:shd w:val="clear" w:color="auto" w:fill="auto"/>
            <w:vAlign w:val="center"/>
          </w:tcPr>
          <w:p>
            <w:pPr>
              <w:widowControl/>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bidi="ar"/>
              </w:rPr>
              <w:t>中国政策科学研究会经济政策委员会副主任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55" w:type="dxa"/>
            <w:gridSpan w:val="4"/>
            <w:shd w:val="clear" w:color="auto" w:fill="CFCECE" w:themeFill="background2" w:themeFillShade="E5"/>
            <w:vAlign w:val="center"/>
          </w:tcPr>
          <w:p>
            <w:pPr>
              <w:widowControl/>
              <w:jc w:val="center"/>
              <w:textAlignment w:val="center"/>
              <w:rPr>
                <w:rFonts w:ascii="仿宋" w:hAnsi="仿宋" w:eastAsia="仿宋" w:cs="仿宋"/>
                <w:color w:val="auto"/>
                <w:kern w:val="0"/>
                <w:sz w:val="24"/>
                <w:szCs w:val="24"/>
                <w:lang w:bidi="ar"/>
              </w:rPr>
            </w:pPr>
            <w:r>
              <w:rPr>
                <w:rStyle w:val="6"/>
                <w:b/>
                <w:bCs/>
                <w:color w:val="auto"/>
                <w:kern w:val="0"/>
                <w:sz w:val="24"/>
                <w:szCs w:val="24"/>
              </w:rPr>
              <w:t>（二）党史教育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党的创立和大革命的兴起</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周良书</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中国社会主义制度的建立</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李松林</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首都师范大学马克思主义学院原院长、教授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社会主义建设的伟大成就及探索中的曲折</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纪亚光</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南开大学马克思主义学院教授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改革开放的历程和基本经验</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王炳林</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共产国际与中国革命：经验与教训</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祝  彦</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中国共产党的奋斗历程与优良传统</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吴文珑</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55" w:type="dxa"/>
            <w:gridSpan w:val="4"/>
            <w:shd w:val="clear" w:color="auto" w:fill="CFCECE" w:themeFill="background2" w:themeFillShade="E5"/>
            <w:vAlign w:val="center"/>
          </w:tcPr>
          <w:p>
            <w:pPr>
              <w:widowControl/>
              <w:jc w:val="center"/>
              <w:textAlignment w:val="bottom"/>
              <w:rPr>
                <w:rStyle w:val="6"/>
                <w:color w:val="auto"/>
                <w:kern w:val="0"/>
                <w:sz w:val="24"/>
                <w:szCs w:val="24"/>
              </w:rPr>
            </w:pPr>
            <w:r>
              <w:rPr>
                <w:rStyle w:val="6"/>
                <w:b/>
                <w:bCs/>
                <w:color w:val="auto"/>
                <w:kern w:val="0"/>
                <w:sz w:val="24"/>
                <w:szCs w:val="24"/>
              </w:rPr>
              <w:t>（三）党章党规党纪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深入学习十九大党章修正案，坚持制度治党</w:t>
            </w:r>
          </w:p>
        </w:tc>
        <w:tc>
          <w:tcPr>
            <w:tcW w:w="1089" w:type="dxa"/>
            <w:shd w:val="clear" w:color="auto" w:fill="auto"/>
            <w:vAlign w:val="center"/>
          </w:tcPr>
          <w:p>
            <w:pPr>
              <w:widowControl/>
              <w:jc w:val="center"/>
              <w:textAlignment w:val="bottom"/>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孙熙国</w:t>
            </w:r>
          </w:p>
        </w:tc>
        <w:tc>
          <w:tcPr>
            <w:tcW w:w="3494" w:type="dxa"/>
            <w:shd w:val="clear" w:color="auto" w:fill="auto"/>
            <w:vAlign w:val="center"/>
          </w:tcPr>
          <w:p>
            <w:pPr>
              <w:widowControl/>
              <w:jc w:val="both"/>
              <w:textAlignment w:val="bottom"/>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北京大学马克思主义学院教授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学习贯彻《中国共产党普通高等学校基层组织工作条例》辅导报告</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魏士强</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教育部思想政治工作司司长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全面提高新时代党员教育培训工作质量——《</w:t>
            </w:r>
            <w:r>
              <w:rPr>
                <w:rFonts w:ascii="仿宋" w:hAnsi="仿宋" w:eastAsia="仿宋" w:cs="仿宋"/>
                <w:color w:val="auto"/>
                <w:kern w:val="0"/>
                <w:sz w:val="24"/>
                <w:szCs w:val="24"/>
                <w:lang w:bidi="ar"/>
              </w:rPr>
              <w:t>2019-2023</w:t>
            </w:r>
            <w:r>
              <w:rPr>
                <w:rFonts w:hint="eastAsia" w:ascii="仿宋" w:hAnsi="仿宋" w:eastAsia="仿宋" w:cs="仿宋"/>
                <w:color w:val="auto"/>
                <w:kern w:val="0"/>
                <w:sz w:val="24"/>
                <w:szCs w:val="24"/>
                <w:lang w:bidi="ar"/>
              </w:rPr>
              <w:t>年全国党员教育培训工作规划》解读</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刘  春</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新时代党员教育管理工作的基本遵循——学习《中国共产党党员教育管理工作条例》</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王  莉</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《中国共产党纪律处分条例》解读</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任  进</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充分保障党员权利 激发党员干事热情——新修订的《中国共产党党员权利保障条例》解读</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陈冬生</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55" w:type="dxa"/>
            <w:gridSpan w:val="4"/>
            <w:shd w:val="clear" w:color="auto" w:fill="CFCECE" w:themeFill="background2" w:themeFillShade="E5"/>
            <w:vAlign w:val="center"/>
          </w:tcPr>
          <w:p>
            <w:pPr>
              <w:widowControl/>
              <w:jc w:val="center"/>
              <w:textAlignment w:val="bottom"/>
              <w:rPr>
                <w:rStyle w:val="6"/>
                <w:b/>
                <w:color w:val="auto"/>
                <w:kern w:val="0"/>
                <w:sz w:val="24"/>
                <w:szCs w:val="24"/>
              </w:rPr>
            </w:pPr>
            <w:r>
              <w:rPr>
                <w:rStyle w:val="6"/>
                <w:rFonts w:hint="eastAsia"/>
                <w:b/>
                <w:color w:val="auto"/>
                <w:kern w:val="0"/>
                <w:sz w:val="24"/>
                <w:szCs w:val="24"/>
              </w:rPr>
              <w:t>（四）预备党员的教育考察和转正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预备党员如何度过预备期</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孙  宁</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中共北京市委党校党史党建教研部副教授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党员预备期的含义与意义</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预备期的重要性</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预备党员的教育</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预备党员的考察</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w:t>
            </w:r>
            <w:bookmarkStart w:id="0" w:name="_GoBack"/>
            <w:bookmarkEnd w:id="0"/>
            <w:r>
              <w:rPr>
                <w:rFonts w:hint="eastAsia" w:ascii="仿宋" w:hAnsi="仿宋" w:eastAsia="仿宋" w:cs="仿宋"/>
                <w:color w:val="auto"/>
                <w:kern w:val="0"/>
                <w:sz w:val="24"/>
                <w:szCs w:val="24"/>
                <w:lang w:bidi="ar"/>
              </w:rPr>
              <w:t>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预备党员的转正</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转正申请的写法和要求</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入党宣誓的重要意义</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入党宣誓仪式</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如何提高预备党员的核心素质</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准确掌握共产党员的标准</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照一照“党员标准”这面镜子</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以实际行动，争取早日入党</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微  课</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高校大学生预备党员系列微课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55" w:type="dxa"/>
            <w:gridSpan w:val="4"/>
            <w:shd w:val="clear" w:color="auto" w:fill="CFCECE" w:themeFill="background2" w:themeFillShade="E5"/>
            <w:vAlign w:val="center"/>
          </w:tcPr>
          <w:p>
            <w:pPr>
              <w:widowControl/>
              <w:jc w:val="center"/>
              <w:textAlignment w:val="bottom"/>
              <w:rPr>
                <w:rStyle w:val="6"/>
                <w:color w:val="auto"/>
                <w:kern w:val="0"/>
                <w:sz w:val="24"/>
                <w:szCs w:val="24"/>
              </w:rPr>
            </w:pPr>
            <w:r>
              <w:rPr>
                <w:rStyle w:val="6"/>
                <w:b/>
                <w:bCs/>
                <w:color w:val="auto"/>
                <w:kern w:val="0"/>
                <w:sz w:val="24"/>
                <w:szCs w:val="24"/>
              </w:rPr>
              <w:t>（五）党性修养提升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理想信念与卓越人才培养——《习近平的七年知青岁月》导读</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刘力波等</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陕西师范大学副院长、教授等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坚定理想信念 锤炼党性修养——同新时代大学生党员谈理想信念和党性修养</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高正礼</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北京交通大学马克思主义学院院长、教授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爱国统一战线与中华民族伟大复兴</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沈桂萍</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中央社会主义学院统战理论教研部副主任、教授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672" w:type="dxa"/>
            <w:gridSpan w:val="2"/>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欲而不贪、宠辱不惊的人生智慧</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王  杰</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255" w:type="dxa"/>
            <w:gridSpan w:val="4"/>
            <w:shd w:val="clear" w:color="auto" w:fill="CFCECE" w:themeFill="background2" w:themeFillShade="E5"/>
            <w:vAlign w:val="center"/>
          </w:tcPr>
          <w:p>
            <w:pPr>
              <w:widowControl/>
              <w:jc w:val="center"/>
              <w:textAlignment w:val="bottom"/>
              <w:rPr>
                <w:rStyle w:val="6"/>
                <w:color w:val="auto"/>
                <w:kern w:val="0"/>
                <w:sz w:val="24"/>
                <w:szCs w:val="24"/>
              </w:rPr>
            </w:pPr>
            <w:r>
              <w:rPr>
                <w:rStyle w:val="6"/>
                <w:b/>
                <w:bCs/>
                <w:color w:val="auto"/>
                <w:kern w:val="0"/>
                <w:sz w:val="24"/>
                <w:szCs w:val="24"/>
              </w:rPr>
              <w:t>（六）榜样示范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甘洒鲜血染红旗——追忆我的父亲梁诚</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梁宁宁</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如铁纪实万千字 留与后人鉴丹心——萧锋夫妇的日记情怀</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萧南溪</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父亲的选择、坚守与修为——赵尔陆的故事</w:t>
            </w:r>
          </w:p>
        </w:tc>
        <w:tc>
          <w:tcPr>
            <w:tcW w:w="1089" w:type="dxa"/>
            <w:shd w:val="clear" w:color="auto" w:fill="auto"/>
            <w:vAlign w:val="center"/>
          </w:tcPr>
          <w:p>
            <w:pPr>
              <w:widowControl/>
              <w:jc w:val="center"/>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赵珈珈</w:t>
            </w:r>
          </w:p>
        </w:tc>
        <w:tc>
          <w:tcPr>
            <w:tcW w:w="3494" w:type="dxa"/>
            <w:shd w:val="clear" w:color="auto" w:fill="auto"/>
            <w:vAlign w:val="center"/>
          </w:tcPr>
          <w:p>
            <w:pPr>
              <w:widowControl/>
              <w:jc w:val="both"/>
              <w:textAlignment w:val="center"/>
              <w:rPr>
                <w:rFonts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心路：邢福义先生治学育人访谈</w:t>
            </w:r>
          </w:p>
        </w:tc>
        <w:tc>
          <w:tcPr>
            <w:tcW w:w="1089" w:type="dxa"/>
            <w:shd w:val="clear" w:color="auto" w:fill="auto"/>
            <w:vAlign w:val="center"/>
          </w:tcPr>
          <w:p>
            <w:pPr>
              <w:widowControl/>
              <w:jc w:val="center"/>
              <w:textAlignment w:val="bottom"/>
              <w:rPr>
                <w:rStyle w:val="6"/>
                <w:color w:val="auto"/>
                <w:kern w:val="0"/>
                <w:sz w:val="24"/>
                <w:szCs w:val="24"/>
              </w:rPr>
            </w:pPr>
            <w:r>
              <w:rPr>
                <w:rStyle w:val="6"/>
                <w:rFonts w:hint="eastAsia"/>
                <w:color w:val="auto"/>
                <w:kern w:val="0"/>
                <w:sz w:val="24"/>
                <w:szCs w:val="24"/>
              </w:rPr>
              <w:t>微视频</w:t>
            </w:r>
          </w:p>
        </w:tc>
        <w:tc>
          <w:tcPr>
            <w:tcW w:w="3494" w:type="dxa"/>
            <w:shd w:val="clear" w:color="auto" w:fill="auto"/>
            <w:vAlign w:val="center"/>
          </w:tcPr>
          <w:p>
            <w:pPr>
              <w:widowControl/>
              <w:jc w:val="both"/>
              <w:textAlignment w:val="bottom"/>
              <w:rPr>
                <w:rStyle w:val="6"/>
                <w:color w:val="auto"/>
                <w:kern w:val="0"/>
                <w:sz w:val="24"/>
                <w:szCs w:val="24"/>
              </w:rPr>
            </w:pPr>
            <w:r>
              <w:rPr>
                <w:rStyle w:val="6"/>
                <w:rFonts w:hint="eastAsia"/>
                <w:color w:val="auto"/>
                <w:kern w:val="0"/>
                <w:sz w:val="24"/>
                <w:szCs w:val="24"/>
              </w:rPr>
              <w:t>华大</w:t>
            </w:r>
            <w:r>
              <w:rPr>
                <w:rStyle w:val="6"/>
                <w:color w:val="auto"/>
                <w:kern w:val="0"/>
                <w:sz w:val="24"/>
                <w:szCs w:val="24"/>
              </w:rPr>
              <w:t>党校公众号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徐勇：行走在田野的政治学者</w:t>
            </w:r>
          </w:p>
        </w:tc>
        <w:tc>
          <w:tcPr>
            <w:tcW w:w="1089" w:type="dxa"/>
            <w:shd w:val="clear" w:color="auto" w:fill="auto"/>
            <w:vAlign w:val="center"/>
          </w:tcPr>
          <w:p>
            <w:pPr>
              <w:widowControl/>
              <w:jc w:val="center"/>
              <w:textAlignment w:val="bottom"/>
              <w:rPr>
                <w:rStyle w:val="6"/>
                <w:color w:val="auto"/>
                <w:kern w:val="0"/>
                <w:sz w:val="24"/>
                <w:szCs w:val="24"/>
              </w:rPr>
            </w:pPr>
            <w:r>
              <w:rPr>
                <w:rStyle w:val="6"/>
                <w:rFonts w:hint="eastAsia"/>
                <w:color w:val="auto"/>
                <w:kern w:val="0"/>
                <w:sz w:val="24"/>
                <w:szCs w:val="24"/>
              </w:rPr>
              <w:t>微视频</w:t>
            </w:r>
          </w:p>
        </w:tc>
        <w:tc>
          <w:tcPr>
            <w:tcW w:w="3494" w:type="dxa"/>
            <w:shd w:val="clear" w:color="auto" w:fill="auto"/>
            <w:vAlign w:val="center"/>
          </w:tcPr>
          <w:p>
            <w:pPr>
              <w:widowControl/>
              <w:jc w:val="both"/>
              <w:textAlignment w:val="bottom"/>
              <w:rPr>
                <w:rStyle w:val="6"/>
                <w:color w:val="auto"/>
                <w:kern w:val="0"/>
                <w:sz w:val="24"/>
                <w:szCs w:val="24"/>
              </w:rPr>
            </w:pPr>
            <w:r>
              <w:rPr>
                <w:rStyle w:val="6"/>
                <w:rFonts w:hint="eastAsia"/>
                <w:color w:val="auto"/>
                <w:kern w:val="0"/>
                <w:sz w:val="24"/>
                <w:szCs w:val="24"/>
              </w:rPr>
              <w:t>华大</w:t>
            </w:r>
            <w:r>
              <w:rPr>
                <w:rStyle w:val="6"/>
                <w:color w:val="auto"/>
                <w:kern w:val="0"/>
                <w:sz w:val="24"/>
                <w:szCs w:val="24"/>
              </w:rPr>
              <w:t>党校公众号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向科学进军：刘守华教授的入党故事</w:t>
            </w:r>
          </w:p>
        </w:tc>
        <w:tc>
          <w:tcPr>
            <w:tcW w:w="1089" w:type="dxa"/>
            <w:shd w:val="clear" w:color="auto" w:fill="auto"/>
            <w:vAlign w:val="center"/>
          </w:tcPr>
          <w:p>
            <w:pPr>
              <w:widowControl/>
              <w:jc w:val="center"/>
              <w:textAlignment w:val="bottom"/>
              <w:rPr>
                <w:rStyle w:val="6"/>
                <w:color w:val="auto"/>
                <w:kern w:val="0"/>
                <w:sz w:val="24"/>
                <w:szCs w:val="24"/>
              </w:rPr>
            </w:pPr>
            <w:r>
              <w:rPr>
                <w:rStyle w:val="6"/>
                <w:rFonts w:hint="eastAsia"/>
                <w:color w:val="auto"/>
                <w:kern w:val="0"/>
                <w:sz w:val="24"/>
                <w:szCs w:val="24"/>
              </w:rPr>
              <w:t>微视频</w:t>
            </w:r>
          </w:p>
        </w:tc>
        <w:tc>
          <w:tcPr>
            <w:tcW w:w="3494" w:type="dxa"/>
            <w:shd w:val="clear" w:color="auto" w:fill="auto"/>
            <w:vAlign w:val="center"/>
          </w:tcPr>
          <w:p>
            <w:pPr>
              <w:widowControl/>
              <w:jc w:val="both"/>
              <w:textAlignment w:val="bottom"/>
              <w:rPr>
                <w:rStyle w:val="6"/>
                <w:color w:val="auto"/>
                <w:kern w:val="0"/>
                <w:sz w:val="24"/>
                <w:szCs w:val="24"/>
              </w:rPr>
            </w:pPr>
            <w:r>
              <w:rPr>
                <w:rStyle w:val="6"/>
                <w:rFonts w:hint="eastAsia"/>
                <w:color w:val="auto"/>
                <w:kern w:val="0"/>
                <w:sz w:val="24"/>
                <w:szCs w:val="24"/>
              </w:rPr>
              <w:t>华大</w:t>
            </w:r>
            <w:r>
              <w:rPr>
                <w:rStyle w:val="6"/>
                <w:color w:val="auto"/>
                <w:kern w:val="0"/>
                <w:sz w:val="24"/>
                <w:szCs w:val="24"/>
              </w:rPr>
              <w:t>党校公众号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2" w:type="dxa"/>
            <w:gridSpan w:val="2"/>
            <w:shd w:val="clear" w:color="auto" w:fill="auto"/>
            <w:vAlign w:val="center"/>
          </w:tcPr>
          <w:p>
            <w:pPr>
              <w:widowControl/>
              <w:jc w:val="both"/>
              <w:textAlignment w:val="center"/>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张耀灿：矢志不渝  潜心问道</w:t>
            </w:r>
          </w:p>
        </w:tc>
        <w:tc>
          <w:tcPr>
            <w:tcW w:w="1089" w:type="dxa"/>
            <w:shd w:val="clear" w:color="auto" w:fill="auto"/>
            <w:vAlign w:val="center"/>
          </w:tcPr>
          <w:p>
            <w:pPr>
              <w:widowControl/>
              <w:jc w:val="center"/>
              <w:textAlignment w:val="bottom"/>
              <w:rPr>
                <w:rStyle w:val="6"/>
                <w:color w:val="auto"/>
                <w:kern w:val="0"/>
                <w:sz w:val="24"/>
                <w:szCs w:val="24"/>
              </w:rPr>
            </w:pPr>
            <w:r>
              <w:rPr>
                <w:rStyle w:val="6"/>
                <w:rFonts w:hint="eastAsia"/>
                <w:color w:val="auto"/>
                <w:kern w:val="0"/>
                <w:sz w:val="24"/>
                <w:szCs w:val="24"/>
              </w:rPr>
              <w:t>微视频</w:t>
            </w:r>
          </w:p>
        </w:tc>
        <w:tc>
          <w:tcPr>
            <w:tcW w:w="3494" w:type="dxa"/>
            <w:shd w:val="clear" w:color="auto" w:fill="auto"/>
            <w:vAlign w:val="center"/>
          </w:tcPr>
          <w:p>
            <w:pPr>
              <w:widowControl/>
              <w:jc w:val="both"/>
              <w:textAlignment w:val="bottom"/>
              <w:rPr>
                <w:rStyle w:val="6"/>
                <w:color w:val="auto"/>
                <w:kern w:val="0"/>
                <w:sz w:val="24"/>
                <w:szCs w:val="24"/>
              </w:rPr>
            </w:pPr>
            <w:r>
              <w:rPr>
                <w:rStyle w:val="6"/>
                <w:rFonts w:hint="eastAsia"/>
                <w:color w:val="auto"/>
                <w:kern w:val="0"/>
                <w:sz w:val="24"/>
                <w:szCs w:val="24"/>
              </w:rPr>
              <w:t>华大</w:t>
            </w:r>
            <w:r>
              <w:rPr>
                <w:rStyle w:val="6"/>
                <w:color w:val="auto"/>
                <w:kern w:val="0"/>
                <w:sz w:val="24"/>
                <w:szCs w:val="24"/>
              </w:rPr>
              <w:t>党校公众号</w:t>
            </w:r>
          </w:p>
        </w:tc>
      </w:tr>
    </w:tbl>
    <w:p>
      <w:pPr>
        <w:keepNext w:val="0"/>
        <w:keepLines w:val="0"/>
        <w:pageBreakBefore w:val="0"/>
        <w:widowControl/>
        <w:kinsoku/>
        <w:wordWrap/>
        <w:overflowPunct/>
        <w:topLinePunct w:val="0"/>
        <w:autoSpaceDE/>
        <w:autoSpaceDN/>
        <w:bidi w:val="0"/>
        <w:adjustRightInd/>
        <w:snapToGrid/>
        <w:spacing w:after="156" w:afterLines="50" w:line="480" w:lineRule="atLeast"/>
        <w:textAlignment w:val="auto"/>
        <w:rPr>
          <w:rFonts w:ascii="方正小标宋简体" w:eastAsia="方正小标宋简体"/>
          <w:color w:val="auto"/>
          <w:sz w:val="30"/>
          <w:szCs w:val="30"/>
        </w:rPr>
      </w:pPr>
    </w:p>
    <w:p>
      <w:pPr>
        <w:keepNext w:val="0"/>
        <w:keepLines w:val="0"/>
        <w:pageBreakBefore w:val="0"/>
        <w:widowControl/>
        <w:kinsoku/>
        <w:wordWrap/>
        <w:overflowPunct/>
        <w:topLinePunct w:val="0"/>
        <w:autoSpaceDE/>
        <w:autoSpaceDN/>
        <w:bidi w:val="0"/>
        <w:adjustRightInd/>
        <w:snapToGrid/>
        <w:spacing w:after="156" w:afterLines="50" w:line="480" w:lineRule="atLeast"/>
        <w:ind w:firstLine="21" w:firstLineChars="7"/>
        <w:jc w:val="center"/>
        <w:textAlignment w:val="auto"/>
        <w:rPr>
          <w:rFonts w:ascii="方正小标宋简体" w:eastAsia="方正小标宋简体"/>
          <w:color w:val="auto"/>
          <w:sz w:val="30"/>
          <w:szCs w:val="30"/>
        </w:rPr>
      </w:pPr>
      <w:r>
        <w:rPr>
          <w:rFonts w:hint="eastAsia" w:ascii="方正小标宋简体" w:eastAsia="方正小标宋简体"/>
          <w:color w:val="auto"/>
          <w:sz w:val="30"/>
          <w:szCs w:val="30"/>
        </w:rPr>
        <w:t>第二</w:t>
      </w:r>
      <w:r>
        <w:rPr>
          <w:rFonts w:ascii="方正小标宋简体" w:eastAsia="方正小标宋简体"/>
          <w:color w:val="auto"/>
          <w:sz w:val="30"/>
          <w:szCs w:val="30"/>
        </w:rPr>
        <w:t>部分</w:t>
      </w:r>
      <w:r>
        <w:rPr>
          <w:rFonts w:hint="eastAsia" w:ascii="方正小标宋简体" w:eastAsia="方正小标宋简体"/>
          <w:color w:val="auto"/>
          <w:sz w:val="30"/>
          <w:szCs w:val="30"/>
        </w:rPr>
        <w:t xml:space="preserve"> 选修课程列表</w:t>
      </w:r>
    </w:p>
    <w:tbl>
      <w:tblPr>
        <w:tblStyle w:val="4"/>
        <w:tblW w:w="9272"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1105"/>
        <w:gridCol w:w="3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272" w:type="dxa"/>
            <w:gridSpan w:val="3"/>
            <w:shd w:val="clear" w:color="auto" w:fill="CFCECE" w:themeFill="background2" w:themeFillShade="E5"/>
            <w:vAlign w:val="center"/>
          </w:tcPr>
          <w:p>
            <w:pPr>
              <w:widowControl/>
              <w:jc w:val="center"/>
              <w:textAlignment w:val="center"/>
              <w:rPr>
                <w:rFonts w:ascii="仿宋" w:hAnsi="仿宋" w:eastAsia="仿宋" w:cs="仿宋"/>
                <w:b/>
                <w:bCs/>
                <w:color w:val="auto"/>
                <w:kern w:val="0"/>
                <w:sz w:val="24"/>
                <w:szCs w:val="24"/>
                <w:lang w:bidi="ar"/>
              </w:rPr>
            </w:pPr>
            <w:r>
              <w:rPr>
                <w:rFonts w:hint="eastAsia" w:ascii="仿宋" w:hAnsi="仿宋" w:eastAsia="仿宋" w:cs="仿宋"/>
                <w:b/>
                <w:bCs/>
                <w:color w:val="auto"/>
                <w:kern w:val="0"/>
                <w:sz w:val="24"/>
                <w:szCs w:val="24"/>
              </w:rPr>
              <w:t>（一）道德修养与法律基础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677" w:type="dxa"/>
            <w:shd w:val="clear" w:color="auto" w:fill="auto"/>
            <w:vAlign w:val="center"/>
          </w:tcPr>
          <w:p>
            <w:pPr>
              <w:widowControl/>
              <w:jc w:val="both"/>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科学道德与学风建设</w:t>
            </w:r>
          </w:p>
        </w:tc>
        <w:tc>
          <w:tcPr>
            <w:tcW w:w="1105" w:type="dxa"/>
            <w:shd w:val="clear" w:color="auto" w:fill="auto"/>
            <w:vAlign w:val="center"/>
          </w:tcPr>
          <w:p>
            <w:pPr>
              <w:widowControl/>
              <w:jc w:val="center"/>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李静静</w:t>
            </w:r>
          </w:p>
        </w:tc>
        <w:tc>
          <w:tcPr>
            <w:tcW w:w="3490" w:type="dxa"/>
            <w:shd w:val="clear" w:color="auto" w:fill="auto"/>
            <w:vAlign w:val="center"/>
          </w:tcPr>
          <w:p>
            <w:pPr>
              <w:widowControl/>
              <w:jc w:val="both"/>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中国石油大学（北京）马克思主义学院教师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677" w:type="dxa"/>
            <w:shd w:val="clear" w:color="auto" w:fill="auto"/>
            <w:vAlign w:val="center"/>
          </w:tcPr>
          <w:p>
            <w:pPr>
              <w:widowControl/>
              <w:jc w:val="both"/>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国学·修身之道——儒家的道德精神系列微课</w:t>
            </w:r>
          </w:p>
        </w:tc>
        <w:tc>
          <w:tcPr>
            <w:tcW w:w="1105" w:type="dxa"/>
            <w:shd w:val="clear" w:color="auto" w:fill="auto"/>
            <w:vAlign w:val="center"/>
          </w:tcPr>
          <w:p>
            <w:pPr>
              <w:widowControl/>
              <w:jc w:val="center"/>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李景林</w:t>
            </w:r>
          </w:p>
        </w:tc>
        <w:tc>
          <w:tcPr>
            <w:tcW w:w="3490" w:type="dxa"/>
            <w:shd w:val="clear" w:color="auto" w:fill="auto"/>
            <w:vAlign w:val="center"/>
          </w:tcPr>
          <w:p>
            <w:pPr>
              <w:widowControl/>
              <w:jc w:val="both"/>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北京师范大学哲学学院教授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shd w:val="clear" w:color="auto" w:fill="auto"/>
            <w:vAlign w:val="center"/>
          </w:tcPr>
          <w:p>
            <w:pPr>
              <w:widowControl/>
              <w:jc w:val="both"/>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学生的法律地位</w:t>
            </w:r>
          </w:p>
        </w:tc>
        <w:tc>
          <w:tcPr>
            <w:tcW w:w="1105" w:type="dxa"/>
            <w:shd w:val="clear" w:color="auto" w:fill="auto"/>
            <w:vAlign w:val="center"/>
          </w:tcPr>
          <w:p>
            <w:pPr>
              <w:widowControl/>
              <w:jc w:val="center"/>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李德嘉</w:t>
            </w:r>
          </w:p>
        </w:tc>
        <w:tc>
          <w:tcPr>
            <w:tcW w:w="3490" w:type="dxa"/>
            <w:shd w:val="clear" w:color="auto" w:fill="auto"/>
            <w:vAlign w:val="center"/>
          </w:tcPr>
          <w:p>
            <w:pPr>
              <w:widowControl/>
              <w:jc w:val="both"/>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北京师范大学法学院讲师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shd w:val="clear" w:color="auto" w:fill="auto"/>
            <w:vAlign w:val="center"/>
          </w:tcPr>
          <w:p>
            <w:pPr>
              <w:widowControl/>
              <w:jc w:val="both"/>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法律基础知识</w:t>
            </w:r>
          </w:p>
        </w:tc>
        <w:tc>
          <w:tcPr>
            <w:tcW w:w="1105" w:type="dxa"/>
            <w:shd w:val="clear" w:color="auto" w:fill="auto"/>
            <w:vAlign w:val="center"/>
          </w:tcPr>
          <w:p>
            <w:pPr>
              <w:widowControl/>
              <w:jc w:val="center"/>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王俊伟</w:t>
            </w:r>
          </w:p>
        </w:tc>
        <w:tc>
          <w:tcPr>
            <w:tcW w:w="3490" w:type="dxa"/>
            <w:shd w:val="clear" w:color="auto" w:fill="auto"/>
            <w:vAlign w:val="center"/>
          </w:tcPr>
          <w:p>
            <w:pPr>
              <w:widowControl/>
              <w:jc w:val="both"/>
              <w:textAlignment w:val="center"/>
              <w:rPr>
                <w:rFonts w:ascii="仿宋" w:hAnsi="仿宋" w:eastAsia="仿宋" w:cs="仿宋"/>
                <w:b/>
                <w:bCs/>
                <w:color w:val="auto"/>
                <w:kern w:val="0"/>
                <w:sz w:val="24"/>
                <w:szCs w:val="24"/>
              </w:rPr>
            </w:pPr>
            <w:r>
              <w:rPr>
                <w:rFonts w:hint="eastAsia" w:ascii="仿宋" w:hAnsi="仿宋" w:eastAsia="仿宋" w:cs="仿宋"/>
                <w:color w:val="auto"/>
                <w:kern w:val="0"/>
                <w:sz w:val="24"/>
                <w:szCs w:val="24"/>
                <w:lang w:bidi="ar"/>
              </w:rPr>
              <w:t>辽宁华昊律师事务所合伙人律师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272" w:type="dxa"/>
            <w:gridSpan w:val="3"/>
            <w:shd w:val="clear" w:color="auto" w:fill="CFCECE" w:themeFill="background2" w:themeFillShade="E5"/>
            <w:vAlign w:val="center"/>
          </w:tcPr>
          <w:p>
            <w:pPr>
              <w:jc w:val="center"/>
              <w:textAlignment w:val="center"/>
              <w:rPr>
                <w:rFonts w:ascii="Times New Roman" w:hAnsi="Times New Roman" w:eastAsia="仿宋" w:cs="Times New Roman"/>
                <w:b/>
                <w:bCs/>
                <w:color w:val="auto"/>
                <w:kern w:val="0"/>
                <w:sz w:val="24"/>
                <w:szCs w:val="24"/>
              </w:rPr>
            </w:pPr>
            <w:r>
              <w:rPr>
                <w:rFonts w:hint="eastAsia" w:ascii="Times New Roman" w:hAnsi="Times New Roman" w:eastAsia="仿宋" w:cs="Times New Roman"/>
                <w:b/>
                <w:bCs/>
                <w:color w:val="auto"/>
                <w:kern w:val="0"/>
                <w:sz w:val="24"/>
                <w:szCs w:val="24"/>
              </w:rPr>
              <w:t>（二）学习方法与科研能力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4677" w:type="dxa"/>
            <w:shd w:val="clear" w:color="auto" w:fill="auto"/>
            <w:vAlign w:val="center"/>
          </w:tcPr>
          <w:p>
            <w:pPr>
              <w:jc w:val="center"/>
              <w:textAlignment w:val="center"/>
              <w:rPr>
                <w:rFonts w:ascii="Times New Roman" w:hAnsi="Times New Roman" w:eastAsia="仿宋" w:cs="Times New Roman"/>
                <w:b/>
                <w:bCs/>
                <w:color w:val="auto"/>
                <w:kern w:val="0"/>
                <w:sz w:val="24"/>
                <w:szCs w:val="24"/>
              </w:rPr>
            </w:pPr>
            <w:r>
              <w:rPr>
                <w:rFonts w:hint="eastAsia" w:ascii="Times New Roman" w:hAnsi="Times New Roman" w:eastAsia="仿宋" w:cs="Times New Roman"/>
                <w:b/>
                <w:bCs/>
                <w:color w:val="auto"/>
                <w:kern w:val="0"/>
                <w:sz w:val="24"/>
                <w:szCs w:val="24"/>
              </w:rPr>
              <w:t>课程名称</w:t>
            </w:r>
          </w:p>
        </w:tc>
        <w:tc>
          <w:tcPr>
            <w:tcW w:w="1105" w:type="dxa"/>
            <w:shd w:val="clear" w:color="auto" w:fill="auto"/>
            <w:vAlign w:val="center"/>
          </w:tcPr>
          <w:p>
            <w:pPr>
              <w:jc w:val="center"/>
              <w:textAlignment w:val="center"/>
              <w:rPr>
                <w:rFonts w:ascii="Times New Roman" w:hAnsi="Times New Roman" w:eastAsia="仿宋" w:cs="Times New Roman"/>
                <w:b/>
                <w:bCs/>
                <w:color w:val="auto"/>
                <w:kern w:val="0"/>
                <w:sz w:val="24"/>
                <w:szCs w:val="24"/>
              </w:rPr>
            </w:pPr>
            <w:r>
              <w:rPr>
                <w:rFonts w:hint="eastAsia" w:ascii="Times New Roman" w:hAnsi="Times New Roman" w:eastAsia="仿宋" w:cs="Times New Roman"/>
                <w:b/>
                <w:bCs/>
                <w:color w:val="auto"/>
                <w:kern w:val="0"/>
                <w:sz w:val="24"/>
                <w:szCs w:val="24"/>
              </w:rPr>
              <w:t>主讲人</w:t>
            </w:r>
          </w:p>
        </w:tc>
        <w:tc>
          <w:tcPr>
            <w:tcW w:w="3490" w:type="dxa"/>
            <w:shd w:val="clear" w:color="auto" w:fill="auto"/>
            <w:vAlign w:val="center"/>
          </w:tcPr>
          <w:p>
            <w:pPr>
              <w:jc w:val="center"/>
              <w:textAlignment w:val="center"/>
              <w:rPr>
                <w:rFonts w:ascii="Times New Roman" w:hAnsi="Times New Roman" w:eastAsia="仿宋" w:cs="Times New Roman"/>
                <w:b/>
                <w:bCs/>
                <w:color w:val="auto"/>
                <w:kern w:val="0"/>
                <w:sz w:val="24"/>
                <w:szCs w:val="24"/>
              </w:rPr>
            </w:pPr>
            <w:r>
              <w:rPr>
                <w:rFonts w:hint="eastAsia" w:ascii="Times New Roman" w:hAnsi="Times New Roman" w:eastAsia="仿宋" w:cs="Times New Roman"/>
                <w:b/>
                <w:bCs/>
                <w:color w:val="auto"/>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shd w:val="clear" w:color="auto" w:fill="auto"/>
            <w:vAlign w:val="center"/>
          </w:tcPr>
          <w:p>
            <w:pPr>
              <w:widowControl/>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bidi="ar"/>
              </w:rPr>
              <w:t>国学·修身之道——读《四书》，谈学习系列微课</w:t>
            </w:r>
          </w:p>
        </w:tc>
        <w:tc>
          <w:tcPr>
            <w:tcW w:w="1105" w:type="dxa"/>
            <w:shd w:val="clear" w:color="auto" w:fill="auto"/>
            <w:vAlign w:val="center"/>
          </w:tcPr>
          <w:p>
            <w:pPr>
              <w:widowControl/>
              <w:jc w:val="center"/>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bidi="ar"/>
              </w:rPr>
              <w:t>陆林祥</w:t>
            </w:r>
          </w:p>
        </w:tc>
        <w:tc>
          <w:tcPr>
            <w:tcW w:w="3490" w:type="dxa"/>
            <w:shd w:val="clear" w:color="auto" w:fill="auto"/>
            <w:vAlign w:val="center"/>
          </w:tcPr>
          <w:p>
            <w:pPr>
              <w:widowControl/>
              <w:jc w:val="left"/>
              <w:textAlignment w:val="center"/>
              <w:rPr>
                <w:rFonts w:ascii="仿宋" w:hAnsi="仿宋" w:eastAsia="仿宋" w:cs="仿宋"/>
                <w:color w:val="auto"/>
                <w:kern w:val="0"/>
                <w:sz w:val="24"/>
                <w:szCs w:val="24"/>
              </w:rPr>
            </w:pPr>
            <w:r>
              <w:rPr>
                <w:rFonts w:hint="eastAsia" w:ascii="仿宋" w:hAnsi="仿宋" w:eastAsia="仿宋" w:cs="仿宋"/>
                <w:color w:val="auto"/>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文化人的幸福生活</w:t>
            </w:r>
          </w:p>
        </w:tc>
        <w:tc>
          <w:tcPr>
            <w:tcW w:w="1105" w:type="dxa"/>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赵庆杰</w:t>
            </w:r>
          </w:p>
        </w:tc>
        <w:tc>
          <w:tcPr>
            <w:tcW w:w="3490" w:type="dxa"/>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中国政法大学马克思主义学院教授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科研选题原则及途径</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张伟刚</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南开大学教务处副处长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科研论文的撰写方略</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张伟刚</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南开大学教务处副处长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72" w:type="dxa"/>
            <w:gridSpan w:val="3"/>
            <w:shd w:val="clear" w:color="auto" w:fill="CFCECE" w:themeFill="background2" w:themeFillShade="E5"/>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（三）职业规划与就业指导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大学生职业生涯规划</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蒋建荣</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南开大学周恩来政府管理学院副教授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职业心理素养与竞争力提升</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汤文颖</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河北行政学院教授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极简创业方法：精益创业</w:t>
            </w:r>
          </w:p>
        </w:tc>
        <w:tc>
          <w:tcPr>
            <w:tcW w:w="1105" w:type="dxa"/>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王  欢</w:t>
            </w:r>
          </w:p>
        </w:tc>
        <w:tc>
          <w:tcPr>
            <w:tcW w:w="3490" w:type="dxa"/>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kern w:val="0"/>
                <w:sz w:val="24"/>
                <w:szCs w:val="24"/>
                <w:lang w:bidi="ar"/>
              </w:rPr>
              <w:t>中关村加一战略新兴产业人才发展中心研发部主任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互联网与新就业</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陈荣凯</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美团点评副总裁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72" w:type="dxa"/>
            <w:gridSpan w:val="3"/>
            <w:shd w:val="clear" w:color="auto" w:fill="CFCECE" w:themeFill="background2" w:themeFillShade="E5"/>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（四）人际交往与沟通艺术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jc w:val="center"/>
              <w:textAlignment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hint="eastAsia" w:ascii="Times New Roman" w:hAnsi="Times New Roman" w:eastAsia="仿宋" w:cs="Times New Roman"/>
                <w:b/>
                <w:bCs/>
                <w:color w:val="000000" w:themeColor="text1"/>
                <w:kern w:val="0"/>
                <w:sz w:val="24"/>
                <w:szCs w:val="24"/>
                <w14:textFill>
                  <w14:solidFill>
                    <w14:schemeClr w14:val="tx1"/>
                  </w14:solidFill>
                </w14:textFill>
              </w:rPr>
              <w:t>课程名称</w:t>
            </w:r>
          </w:p>
        </w:tc>
        <w:tc>
          <w:tcPr>
            <w:tcW w:w="1105" w:type="dxa"/>
            <w:vAlign w:val="center"/>
          </w:tcPr>
          <w:p>
            <w:pPr>
              <w:jc w:val="center"/>
              <w:textAlignment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hint="eastAsia" w:ascii="Times New Roman" w:hAnsi="Times New Roman" w:eastAsia="仿宋" w:cs="Times New Roman"/>
                <w:b/>
                <w:bCs/>
                <w:color w:val="000000" w:themeColor="text1"/>
                <w:kern w:val="0"/>
                <w:sz w:val="24"/>
                <w:szCs w:val="24"/>
                <w14:textFill>
                  <w14:solidFill>
                    <w14:schemeClr w14:val="tx1"/>
                  </w14:solidFill>
                </w14:textFill>
              </w:rPr>
              <w:t>主讲人</w:t>
            </w:r>
          </w:p>
        </w:tc>
        <w:tc>
          <w:tcPr>
            <w:tcW w:w="3490" w:type="dxa"/>
            <w:vAlign w:val="center"/>
          </w:tcPr>
          <w:p>
            <w:pPr>
              <w:jc w:val="center"/>
              <w:textAlignment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hint="eastAsia" w:ascii="Times New Roman" w:hAnsi="Times New Roman" w:eastAsia="仿宋" w:cs="Times New Roman"/>
                <w:b/>
                <w:bCs/>
                <w:color w:val="000000" w:themeColor="text1"/>
                <w:kern w:val="0"/>
                <w:sz w:val="24"/>
                <w:szCs w:val="24"/>
                <w14:textFill>
                  <w14:solidFill>
                    <w14:schemeClr w14:val="tx1"/>
                  </w14:solidFill>
                </w14:textFill>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人际关系的建立与调适</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樊富珉</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清华大学社会科学学院心理学系副主任、教授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学会倾听：拉近彼此的心理距离</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赵了了</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职场沟通与情绪管理专家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《传习录》与阳明心学智慧</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乔清举</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海纳百川、兼容并蓄的包容智慧</w:t>
            </w:r>
          </w:p>
        </w:tc>
        <w:tc>
          <w:tcPr>
            <w:tcW w:w="1105" w:type="dxa"/>
            <w:vAlign w:val="center"/>
          </w:tcPr>
          <w:p>
            <w:pPr>
              <w:widowControl/>
              <w:jc w:val="center"/>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王  杰</w:t>
            </w:r>
          </w:p>
        </w:tc>
        <w:tc>
          <w:tcPr>
            <w:tcW w:w="3490" w:type="dxa"/>
            <w:vAlign w:val="center"/>
          </w:tcPr>
          <w:p>
            <w:pPr>
              <w:widowControl/>
              <w:jc w:val="left"/>
              <w:textAlignment w:val="center"/>
              <w:rPr>
                <w:rFonts w:ascii="仿宋" w:hAnsi="仿宋" w:eastAsia="仿宋" w:cs="仿宋"/>
                <w:color w:val="000000" w:themeColor="text1"/>
                <w:kern w:val="0"/>
                <w:sz w:val="24"/>
                <w:szCs w:val="24"/>
                <w:lang w:bidi="ar"/>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72" w:type="dxa"/>
            <w:gridSpan w:val="3"/>
            <w:shd w:val="clear" w:color="auto" w:fill="CFCECE" w:themeFill="background2" w:themeFillShade="E5"/>
            <w:vAlign w:val="center"/>
          </w:tcPr>
          <w:p>
            <w:pPr>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color w:val="000000" w:themeColor="text1"/>
                <w:kern w:val="0"/>
                <w:sz w:val="24"/>
                <w:szCs w:val="24"/>
                <w14:textFill>
                  <w14:solidFill>
                    <w14:schemeClr w14:val="tx1"/>
                  </w14:solidFill>
                </w14:textFill>
              </w:rPr>
              <w:t>（五）</w:t>
            </w:r>
            <w:r>
              <w:rPr>
                <w:rFonts w:ascii="仿宋" w:hAnsi="仿宋" w:eastAsia="仿宋" w:cs="仿宋"/>
                <w:b/>
                <w:bCs/>
                <w:color w:val="000000" w:themeColor="text1"/>
                <w:kern w:val="0"/>
                <w:sz w:val="24"/>
                <w:szCs w:val="24"/>
                <w14:textFill>
                  <w14:solidFill>
                    <w14:schemeClr w14:val="tx1"/>
                  </w14:solidFill>
                </w14:textFill>
              </w:rPr>
              <w:t>心理健康与压力管理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jc w:val="center"/>
              <w:textAlignment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hint="eastAsia" w:ascii="Times New Roman" w:hAnsi="Times New Roman" w:eastAsia="仿宋" w:cs="Times New Roman"/>
                <w:b/>
                <w:bCs/>
                <w:color w:val="000000" w:themeColor="text1"/>
                <w:kern w:val="0"/>
                <w:sz w:val="24"/>
                <w:szCs w:val="24"/>
                <w14:textFill>
                  <w14:solidFill>
                    <w14:schemeClr w14:val="tx1"/>
                  </w14:solidFill>
                </w14:textFill>
              </w:rPr>
              <w:t>课程名称</w:t>
            </w:r>
          </w:p>
        </w:tc>
        <w:tc>
          <w:tcPr>
            <w:tcW w:w="1105" w:type="dxa"/>
            <w:vAlign w:val="center"/>
          </w:tcPr>
          <w:p>
            <w:pPr>
              <w:jc w:val="center"/>
              <w:textAlignment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hint="eastAsia" w:ascii="Times New Roman" w:hAnsi="Times New Roman" w:eastAsia="仿宋" w:cs="Times New Roman"/>
                <w:b/>
                <w:bCs/>
                <w:color w:val="000000" w:themeColor="text1"/>
                <w:kern w:val="0"/>
                <w:sz w:val="24"/>
                <w:szCs w:val="24"/>
                <w14:textFill>
                  <w14:solidFill>
                    <w14:schemeClr w14:val="tx1"/>
                  </w14:solidFill>
                </w14:textFill>
              </w:rPr>
              <w:t>主讲人</w:t>
            </w:r>
          </w:p>
        </w:tc>
        <w:tc>
          <w:tcPr>
            <w:tcW w:w="3490" w:type="dxa"/>
            <w:vAlign w:val="center"/>
          </w:tcPr>
          <w:p>
            <w:pPr>
              <w:jc w:val="center"/>
              <w:textAlignment w:val="center"/>
              <w:rPr>
                <w:rFonts w:ascii="Times New Roman" w:hAnsi="Times New Roman" w:eastAsia="仿宋" w:cs="Times New Roman"/>
                <w:b/>
                <w:bCs/>
                <w:color w:val="000000" w:themeColor="text1"/>
                <w:kern w:val="0"/>
                <w:sz w:val="24"/>
                <w:szCs w:val="24"/>
                <w14:textFill>
                  <w14:solidFill>
                    <w14:schemeClr w14:val="tx1"/>
                  </w14:solidFill>
                </w14:textFill>
              </w:rPr>
            </w:pPr>
            <w:r>
              <w:rPr>
                <w:rFonts w:hint="eastAsia" w:ascii="Times New Roman" w:hAnsi="Times New Roman" w:eastAsia="仿宋" w:cs="Times New Roman"/>
                <w:b/>
                <w:bCs/>
                <w:color w:val="000000" w:themeColor="text1"/>
                <w:kern w:val="0"/>
                <w:sz w:val="24"/>
                <w:szCs w:val="24"/>
                <w14:textFill>
                  <w14:solidFill>
                    <w14:schemeClr w14:val="tx1"/>
                  </w14:solidFill>
                </w14:textFill>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压力管理与心理健康促进</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樊富珉</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清华大学社会科学学院心理学系副主任、教授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压力与情绪管理</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郑日昌</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北京师范大学辅仁应用心理发展中心主任、教授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控制情绪：头脑冷静才能说得清楚</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赵了了</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职场沟通与情绪管理专家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77"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情绪管理的快速实践方法</w:t>
            </w:r>
          </w:p>
        </w:tc>
        <w:tc>
          <w:tcPr>
            <w:tcW w:w="1105" w:type="dxa"/>
            <w:vAlign w:val="center"/>
          </w:tcPr>
          <w:p>
            <w:pPr>
              <w:widowControl/>
              <w:jc w:val="center"/>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高子馨</w:t>
            </w:r>
          </w:p>
        </w:tc>
        <w:tc>
          <w:tcPr>
            <w:tcW w:w="3490" w:type="dxa"/>
            <w:vAlign w:val="center"/>
          </w:tcPr>
          <w:p>
            <w:pPr>
              <w:widowControl/>
              <w:jc w:val="left"/>
              <w:textAlignment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bidi="ar"/>
                <w14:textFill>
                  <w14:solidFill>
                    <w14:schemeClr w14:val="tx1"/>
                  </w14:solidFill>
                </w14:textFill>
              </w:rPr>
              <w:t>情商管理培训师、原德国阿尔诺大区副总裁</w:t>
            </w:r>
          </w:p>
        </w:tc>
      </w:tr>
    </w:tbl>
    <w:p>
      <w:pPr>
        <w:pStyle w:val="7"/>
        <w:spacing w:line="360" w:lineRule="exact"/>
        <w:ind w:right="-57" w:rightChars="-27" w:firstLine="0" w:firstLineChars="0"/>
        <w:rPr>
          <w:rFonts w:hint="eastAsia" w:ascii="楷体" w:hAnsi="楷体" w:eastAsia="楷体" w:cs="楷体"/>
          <w:color w:val="auto"/>
          <w:sz w:val="24"/>
          <w:szCs w:val="24"/>
        </w:rPr>
      </w:pPr>
      <w:r>
        <w:rPr>
          <w:rFonts w:hint="eastAsia" w:ascii="楷体" w:hAnsi="楷体" w:eastAsia="楷体" w:cs="楷体"/>
          <w:color w:val="auto"/>
          <w:sz w:val="24"/>
          <w:szCs w:val="24"/>
        </w:rPr>
        <w:t>说明：1.个别课程或稍有调整，请以平台最终发布课程为准；</w:t>
      </w:r>
    </w:p>
    <w:p>
      <w:pPr>
        <w:ind w:firstLine="720" w:firstLineChars="300"/>
        <w:rPr>
          <w:rFonts w:hint="eastAsia" w:ascii="楷体" w:hAnsi="楷体" w:eastAsia="楷体" w:cs="楷体"/>
          <w:sz w:val="24"/>
          <w:szCs w:val="24"/>
          <w:lang w:eastAsia="zh-CN"/>
        </w:rPr>
      </w:pPr>
      <w:r>
        <w:rPr>
          <w:rFonts w:hint="eastAsia" w:ascii="楷体" w:hAnsi="楷体" w:eastAsia="楷体" w:cs="楷体"/>
          <w:color w:val="auto"/>
          <w:sz w:val="24"/>
          <w:szCs w:val="24"/>
        </w:rPr>
        <w:t>2.课程主讲人职务为课程录制时的职务</w:t>
      </w:r>
      <w:r>
        <w:rPr>
          <w:rFonts w:hint="eastAsia" w:ascii="楷体" w:hAnsi="楷体" w:eastAsia="楷体" w:cs="楷体"/>
          <w:color w:val="auto"/>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172BB1"/>
    <w:rsid w:val="1779744F"/>
    <w:rsid w:val="65172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1"/>
    <w:basedOn w:val="5"/>
    <w:qFormat/>
    <w:uiPriority w:val="0"/>
    <w:rPr>
      <w:rFonts w:ascii="仿宋" w:hAnsi="仿宋" w:eastAsia="仿宋" w:cs="仿宋"/>
      <w:color w:val="000000"/>
      <w:sz w:val="28"/>
      <w:szCs w:val="28"/>
      <w:u w:val="none"/>
    </w:rPr>
  </w:style>
  <w:style w:type="paragraph" w:customStyle="1" w:styleId="7">
    <w:name w:val="00正文"/>
    <w:basedOn w:val="1"/>
    <w:qFormat/>
    <w:uiPriority w:val="0"/>
    <w:pPr>
      <w:spacing w:line="360" w:lineRule="auto"/>
      <w:ind w:firstLine="480" w:firstLineChars="200"/>
      <w:textAlignment w:val="baseline"/>
    </w:pPr>
    <w:rPr>
      <w:rFonts w:ascii="仿宋_GB2312" w:hAnsi="宋体" w:eastAsia="仿宋_GB2312" w:cs="Times New Roman"/>
      <w:color w:val="000000"/>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2021-09-07T01:02:00Z</dcterms:created>
  <dc:creator>Administrator</dc:creator>
  <cp:lastModifiedBy>Administrator</cp:lastModifiedBy>
  <dcterms:modified xsi:type="dcterms:W3CDTF">2021-09-07T01:18:32Z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61A88A40C0324458B76951AC9C9421BC</vt:lpwstr>
  </property>
</Properties>
</file>