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rPr>
      </w:pPr>
      <w:bookmarkStart w:id="0" w:name="_GoBack"/>
      <w:r>
        <w:rPr>
          <w:rFonts w:hint="eastAsia" w:ascii="黑体" w:eastAsia="黑体"/>
        </w:rPr>
        <w:t>附件3   第6</w:t>
      </w:r>
      <w:r>
        <w:rPr>
          <w:rFonts w:ascii="黑体" w:eastAsia="黑体"/>
        </w:rPr>
        <w:t>6</w:t>
      </w:r>
      <w:r>
        <w:rPr>
          <w:rFonts w:hint="eastAsia" w:ascii="黑体" w:eastAsia="黑体"/>
        </w:rPr>
        <w:t>期学生入党积极分子集中培训班线上课程表</w:t>
      </w:r>
      <w:bookmarkEnd w:id="0"/>
    </w:p>
    <w:tbl>
      <w:tblPr>
        <w:tblStyle w:val="7"/>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3"/>
        <w:gridCol w:w="1550"/>
        <w:gridCol w:w="2990"/>
        <w:gridCol w:w="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课程名称</w:t>
            </w:r>
          </w:p>
        </w:tc>
        <w:tc>
          <w:tcPr>
            <w:tcW w:w="1550" w:type="dxa"/>
            <w:noWrap w:val="0"/>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主讲人</w:t>
            </w:r>
          </w:p>
        </w:tc>
        <w:tc>
          <w:tcPr>
            <w:tcW w:w="3033" w:type="dxa"/>
            <w:gridSpan w:val="2"/>
            <w:noWrap w:val="0"/>
            <w:vAlign w:val="center"/>
          </w:tcPr>
          <w:p>
            <w:pPr>
              <w:jc w:val="center"/>
              <w:textAlignment w:val="center"/>
              <w:rPr>
                <w:rFonts w:eastAsia="仿宋"/>
                <w:b/>
                <w:bCs/>
                <w:color w:val="000000"/>
                <w:kern w:val="0"/>
                <w:sz w:val="24"/>
                <w:szCs w:val="24"/>
              </w:rPr>
            </w:pPr>
            <w:r>
              <w:rPr>
                <w:rFonts w:hint="eastAsia" w:eastAsia="仿宋"/>
                <w:b/>
                <w:bCs/>
                <w:color w:val="000000"/>
                <w:kern w:val="0"/>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36" w:type="dxa"/>
            <w:gridSpan w:val="4"/>
            <w:shd w:val="clear" w:color="auto" w:fill="DCD8C2"/>
            <w:noWrap w:val="0"/>
            <w:vAlign w:val="center"/>
          </w:tcPr>
          <w:p>
            <w:pPr>
              <w:widowControl/>
              <w:jc w:val="center"/>
              <w:textAlignment w:val="center"/>
              <w:rPr>
                <w:rFonts w:ascii="仿宋" w:hAnsi="仿宋" w:eastAsia="仿宋" w:cs="仿宋"/>
                <w:color w:val="000000"/>
                <w:kern w:val="0"/>
                <w:sz w:val="24"/>
                <w:szCs w:val="24"/>
                <w:lang w:bidi="ar"/>
              </w:rPr>
            </w:pPr>
            <w:r>
              <w:rPr>
                <w:rFonts w:hint="eastAsia" w:eastAsia="仿宋"/>
                <w:b/>
                <w:bCs/>
                <w:color w:val="000000"/>
                <w:sz w:val="24"/>
                <w:szCs w:val="24"/>
              </w:rPr>
              <w:t>（一）</w:t>
            </w:r>
            <w:r>
              <w:rPr>
                <w:rFonts w:eastAsia="仿宋"/>
                <w:b/>
                <w:bCs/>
                <w:color w:val="000000"/>
                <w:sz w:val="24"/>
                <w:szCs w:val="24"/>
              </w:rPr>
              <w:t>习近平新时代中国特色社会主义思想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深入</w:t>
            </w:r>
            <w:r>
              <w:rPr>
                <w:rFonts w:ascii="仿宋" w:hAnsi="仿宋" w:eastAsia="仿宋" w:cs="仿宋"/>
                <w:color w:val="000000"/>
                <w:kern w:val="0"/>
                <w:sz w:val="24"/>
                <w:szCs w:val="24"/>
              </w:rPr>
              <w:t>学习贯彻习近平总书记在“</w:t>
            </w:r>
            <w:r>
              <w:rPr>
                <w:rFonts w:hint="eastAsia" w:ascii="仿宋" w:hAnsi="仿宋" w:eastAsia="仿宋" w:cs="仿宋"/>
                <w:color w:val="000000"/>
                <w:kern w:val="0"/>
                <w:sz w:val="24"/>
                <w:szCs w:val="24"/>
              </w:rPr>
              <w:t>七一</w:t>
            </w:r>
            <w:r>
              <w:rPr>
                <w:rFonts w:ascii="仿宋" w:hAnsi="仿宋" w:eastAsia="仿宋" w:cs="仿宋"/>
                <w:color w:val="000000"/>
                <w:kern w:val="0"/>
                <w:sz w:val="24"/>
                <w:szCs w:val="24"/>
              </w:rPr>
              <w:t>”</w:t>
            </w:r>
            <w:r>
              <w:rPr>
                <w:rFonts w:hint="eastAsia" w:ascii="仿宋" w:hAnsi="仿宋" w:eastAsia="仿宋" w:cs="仿宋"/>
                <w:color w:val="000000"/>
                <w:kern w:val="0"/>
                <w:sz w:val="24"/>
                <w:szCs w:val="24"/>
              </w:rPr>
              <w:t>庆祝</w:t>
            </w:r>
            <w:r>
              <w:rPr>
                <w:rFonts w:ascii="仿宋" w:hAnsi="仿宋" w:eastAsia="仿宋" w:cs="仿宋"/>
                <w:color w:val="000000"/>
                <w:kern w:val="0"/>
                <w:sz w:val="24"/>
                <w:szCs w:val="24"/>
              </w:rPr>
              <w:t>中国共产党成立</w:t>
            </w:r>
            <w:r>
              <w:rPr>
                <w:rFonts w:hint="eastAsia" w:ascii="仿宋" w:hAnsi="仿宋" w:eastAsia="仿宋" w:cs="仿宋"/>
                <w:color w:val="000000"/>
                <w:kern w:val="0"/>
                <w:sz w:val="24"/>
                <w:szCs w:val="24"/>
              </w:rPr>
              <w:t>100周年</w:t>
            </w:r>
            <w:r>
              <w:rPr>
                <w:rFonts w:ascii="仿宋" w:hAnsi="仿宋" w:eastAsia="仿宋" w:cs="仿宋"/>
                <w:color w:val="000000"/>
                <w:kern w:val="0"/>
                <w:sz w:val="24"/>
                <w:szCs w:val="24"/>
              </w:rPr>
              <w:t>大会上的重要讲话精神</w:t>
            </w:r>
          </w:p>
        </w:tc>
        <w:tc>
          <w:tcPr>
            <w:tcW w:w="1550" w:type="dxa"/>
            <w:noWrap w:val="0"/>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刘春</w:t>
            </w:r>
          </w:p>
        </w:tc>
        <w:tc>
          <w:tcPr>
            <w:tcW w:w="3033" w:type="dxa"/>
            <w:gridSpan w:val="2"/>
            <w:noWrap w:val="0"/>
            <w:vAlign w:val="center"/>
          </w:tcPr>
          <w:p>
            <w:pPr>
              <w:widowControl/>
              <w:jc w:val="left"/>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中共</w:t>
            </w:r>
            <w:r>
              <w:rPr>
                <w:rFonts w:ascii="仿宋" w:hAnsi="仿宋" w:eastAsia="仿宋" w:cs="仿宋"/>
                <w:color w:val="000000"/>
                <w:kern w:val="0"/>
                <w:sz w:val="24"/>
                <w:szCs w:val="24"/>
                <w:lang w:bidi="ar"/>
              </w:rPr>
              <w:t>中央党校（</w:t>
            </w:r>
            <w:r>
              <w:rPr>
                <w:rFonts w:hint="eastAsia" w:ascii="仿宋" w:hAnsi="仿宋" w:eastAsia="仿宋" w:cs="仿宋"/>
                <w:color w:val="000000"/>
                <w:kern w:val="0"/>
                <w:sz w:val="24"/>
                <w:szCs w:val="24"/>
                <w:lang w:bidi="ar"/>
              </w:rPr>
              <w:t>国家</w:t>
            </w:r>
            <w:r>
              <w:rPr>
                <w:rFonts w:ascii="仿宋" w:hAnsi="仿宋" w:eastAsia="仿宋" w:cs="仿宋"/>
                <w:color w:val="000000"/>
                <w:kern w:val="0"/>
                <w:sz w:val="24"/>
                <w:szCs w:val="24"/>
                <w:lang w:bidi="ar"/>
              </w:rPr>
              <w:t>行政学院）</w:t>
            </w:r>
            <w:r>
              <w:rPr>
                <w:rFonts w:hint="eastAsia" w:ascii="仿宋" w:hAnsi="仿宋" w:eastAsia="仿宋" w:cs="仿宋"/>
                <w:color w:val="000000"/>
                <w:kern w:val="0"/>
                <w:sz w:val="24"/>
                <w:szCs w:val="24"/>
                <w:lang w:bidi="ar"/>
              </w:rPr>
              <w:t>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习近平新时代中国特色社会主义思想是党和国家必须长期坚持的指导思想</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3033" w:type="dxa"/>
            <w:gridSpan w:val="2"/>
            <w:noWrap w:val="0"/>
            <w:vAlign w:val="center"/>
          </w:tcPr>
          <w:p>
            <w:pPr>
              <w:widowControl/>
              <w:jc w:val="left"/>
              <w:textAlignment w:val="center"/>
              <w:rPr>
                <w:rFonts w:ascii="仿宋" w:hAnsi="仿宋" w:eastAsia="仿宋" w:cs="仿宋"/>
                <w:color w:val="000000"/>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《习近平谈治国理政》第三卷</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颜晓峰</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天津大学马克思主义学院院长、教授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从小康奔向现代化的奋进宣言——党的十九届五中全会精神解读</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杨  禹</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中国改革报社副社长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中国共产党领导下的中华民族命运共同体</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陈丽明</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中央民族大学教师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挺起共产党人的精神脊梁——学习习近平总书记关于坚定理想信念的重要论述</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陈冬生</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36" w:type="dxa"/>
            <w:gridSpan w:val="4"/>
            <w:shd w:val="clear" w:color="auto" w:fill="DCD8C2"/>
            <w:noWrap w:val="0"/>
            <w:vAlign w:val="center"/>
          </w:tcPr>
          <w:p>
            <w:pPr>
              <w:jc w:val="center"/>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（二）国家安全与形势政策教育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如何看“百年未有之大变局”</w:t>
            </w:r>
          </w:p>
        </w:tc>
        <w:tc>
          <w:tcPr>
            <w:tcW w:w="1550" w:type="dxa"/>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杨光斌</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中国人民大学特聘教授、国际关系学院院长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坚持总体国家安全观 走中国特色的国家安全道路</w:t>
            </w:r>
          </w:p>
        </w:tc>
        <w:tc>
          <w:tcPr>
            <w:tcW w:w="1550" w:type="dxa"/>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唐永胜</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国防大学国家安全学院副院长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新型大国关系与全球治理</w:t>
            </w:r>
          </w:p>
        </w:tc>
        <w:tc>
          <w:tcPr>
            <w:tcW w:w="1550" w:type="dxa"/>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贾庆国</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北京大学国际关系学院院长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居安思危与中国社会风险治理</w:t>
            </w:r>
          </w:p>
        </w:tc>
        <w:tc>
          <w:tcPr>
            <w:tcW w:w="1550" w:type="dxa"/>
            <w:noWrap w:val="0"/>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彭宗超</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清华大学公共管理学院副院长、教授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36" w:type="dxa"/>
            <w:gridSpan w:val="4"/>
            <w:shd w:val="clear" w:color="auto" w:fill="DCD8C2"/>
            <w:noWrap w:val="0"/>
            <w:vAlign w:val="center"/>
          </w:tcPr>
          <w:p>
            <w:pPr>
              <w:jc w:val="center"/>
              <w:textAlignment w:val="center"/>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（三）党的性质宗旨教育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党的组织原则</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石国亮</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中国共产党的性质和宗旨</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元跃旗</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中共北京市委党校史党建教研部副教授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民主集中制：共产党的重要法宝</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李军鹏</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十九大党章解读系列微课</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微  课</w:t>
            </w:r>
          </w:p>
        </w:tc>
        <w:tc>
          <w:tcPr>
            <w:tcW w:w="3033" w:type="dxa"/>
            <w:gridSpan w:val="2"/>
            <w:noWrap w:val="0"/>
            <w:vAlign w:val="center"/>
          </w:tcPr>
          <w:p>
            <w:pPr>
              <w:widowControl/>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36" w:type="dxa"/>
            <w:gridSpan w:val="4"/>
            <w:shd w:val="clear" w:color="auto" w:fill="DCD8C2"/>
            <w:noWrap w:val="0"/>
            <w:vAlign w:val="center"/>
          </w:tcPr>
          <w:p>
            <w:pPr>
              <w:jc w:val="center"/>
              <w:rPr>
                <w:rFonts w:ascii="仿宋" w:hAnsi="仿宋" w:eastAsia="仿宋" w:cs="仿宋"/>
                <w:color w:val="000000"/>
                <w:kern w:val="0"/>
                <w:sz w:val="24"/>
                <w:szCs w:val="24"/>
              </w:rPr>
            </w:pPr>
            <w:r>
              <w:rPr>
                <w:rFonts w:hint="eastAsia" w:ascii="仿宋" w:hAnsi="仿宋" w:eastAsia="仿宋" w:cs="仿宋"/>
                <w:b/>
                <w:bCs/>
                <w:color w:val="000000"/>
                <w:kern w:val="0"/>
                <w:sz w:val="24"/>
                <w:szCs w:val="24"/>
              </w:rPr>
              <w:t>（四）党史教育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知史爱党——跟习近平总书记学党史</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3033" w:type="dxa"/>
            <w:gridSpan w:val="2"/>
            <w:noWrap w:val="0"/>
            <w:vAlign w:val="center"/>
          </w:tcPr>
          <w:p>
            <w:pPr>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知史爱国——跟习近平总书记学新中国史</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3033" w:type="dxa"/>
            <w:gridSpan w:val="2"/>
            <w:noWrap w:val="0"/>
            <w:vAlign w:val="center"/>
          </w:tcPr>
          <w:p>
            <w:pPr>
              <w:jc w:val="left"/>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53" w:type="dxa"/>
            <w:noWrap w:val="0"/>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中国共产党的光辉历程</w:t>
            </w:r>
          </w:p>
        </w:tc>
        <w:tc>
          <w:tcPr>
            <w:tcW w:w="1550" w:type="dxa"/>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崔丽华</w:t>
            </w:r>
          </w:p>
        </w:tc>
        <w:tc>
          <w:tcPr>
            <w:tcW w:w="3033" w:type="dxa"/>
            <w:gridSpan w:val="2"/>
            <w:noWrap w:val="0"/>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53" w:type="dxa"/>
            <w:noWrap w:val="0"/>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从历史转折看党的初心和使命</w:t>
            </w:r>
          </w:p>
        </w:tc>
        <w:tc>
          <w:tcPr>
            <w:tcW w:w="1550" w:type="dxa"/>
            <w:noWrap w:val="0"/>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王炳林</w:t>
            </w:r>
          </w:p>
        </w:tc>
        <w:tc>
          <w:tcPr>
            <w:tcW w:w="3033" w:type="dxa"/>
            <w:gridSpan w:val="2"/>
            <w:noWrap w:val="0"/>
            <w:vAlign w:val="center"/>
          </w:tcPr>
          <w:p>
            <w:pPr>
              <w:widowControl/>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中国改革为什么能成功</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徐  斌</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北京师范大学马克思主义制度理论研究中心主任、教授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社会主义发展史</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路克利</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中国人民大学研究员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在学习党史新中国史中坚定“四个自信”</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王新生</w:t>
            </w:r>
          </w:p>
        </w:tc>
        <w:tc>
          <w:tcPr>
            <w:tcW w:w="3033" w:type="dxa"/>
            <w:gridSpan w:val="2"/>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原中共中央党史研究室研究员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9793" w:type="dxa"/>
            <w:gridSpan w:val="3"/>
            <w:shd w:val="clear" w:color="auto" w:fill="DCD8C2"/>
            <w:noWrap w:val="0"/>
            <w:vAlign w:val="center"/>
          </w:tcPr>
          <w:p>
            <w:pPr>
              <w:widowControl/>
              <w:jc w:val="center"/>
              <w:rPr>
                <w:rFonts w:ascii="仿宋" w:hAnsi="仿宋" w:eastAsia="仿宋" w:cs="仿宋"/>
                <w:color w:val="000000"/>
                <w:kern w:val="0"/>
                <w:sz w:val="24"/>
                <w:szCs w:val="24"/>
              </w:rPr>
            </w:pPr>
            <w:r>
              <w:rPr>
                <w:rFonts w:hint="eastAsia" w:ascii="仿宋" w:hAnsi="仿宋" w:eastAsia="仿宋" w:cs="仿宋"/>
                <w:b/>
                <w:bCs/>
                <w:color w:val="000000"/>
                <w:sz w:val="24"/>
                <w:szCs w:val="24"/>
              </w:rPr>
              <w:t>（五）入党积极分子的确定和培养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党组织的期望</w:t>
            </w:r>
          </w:p>
        </w:tc>
        <w:tc>
          <w:tcPr>
            <w:tcW w:w="1550" w:type="dxa"/>
            <w:vMerge w:val="restart"/>
            <w:noWrap w:val="0"/>
            <w:vAlign w:val="center"/>
          </w:tcPr>
          <w:p>
            <w:pPr>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微  课</w:t>
            </w:r>
          </w:p>
        </w:tc>
        <w:tc>
          <w:tcPr>
            <w:tcW w:w="2990" w:type="dxa"/>
            <w:vMerge w:val="restart"/>
            <w:noWrap w:val="0"/>
            <w:vAlign w:val="center"/>
          </w:tcPr>
          <w:p>
            <w:pPr>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高校大学生入党积极分子系列微课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发展大学生党员的意义</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你符合申请入党的条件吗</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端正入党动机</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入党的流程</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个人自愿向党组织提出入党申请</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对入党积极分子的培养教育和考察</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入党积极分子的考评内容</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入党申请书</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如何写好入党思想汇报</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《入党积极分子考察表》中个人基本情况的填写</w:t>
            </w:r>
          </w:p>
        </w:tc>
        <w:tc>
          <w:tcPr>
            <w:tcW w:w="1550" w:type="dxa"/>
            <w:vMerge w:val="continue"/>
            <w:noWrap w:val="0"/>
            <w:vAlign w:val="center"/>
          </w:tcPr>
          <w:p>
            <w:pPr>
              <w:jc w:val="left"/>
              <w:textAlignment w:val="center"/>
              <w:rPr>
                <w:rFonts w:ascii="仿宋" w:hAnsi="仿宋" w:eastAsia="仿宋" w:cs="仿宋"/>
                <w:color w:val="000000"/>
                <w:kern w:val="0"/>
                <w:sz w:val="24"/>
                <w:szCs w:val="24"/>
              </w:rPr>
            </w:pPr>
          </w:p>
        </w:tc>
        <w:tc>
          <w:tcPr>
            <w:tcW w:w="2990" w:type="dxa"/>
            <w:vMerge w:val="continue"/>
            <w:noWrap w:val="0"/>
            <w:vAlign w:val="center"/>
          </w:tcPr>
          <w:p>
            <w:pPr>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widowControl/>
              <w:jc w:val="left"/>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bidi="ar"/>
              </w:rPr>
              <w:t>入党积极分子如何争取入党</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元跃旗</w:t>
            </w:r>
          </w:p>
        </w:tc>
        <w:tc>
          <w:tcPr>
            <w:tcW w:w="2990" w:type="dxa"/>
            <w:noWrap w:val="0"/>
            <w:vAlign w:val="center"/>
          </w:tcPr>
          <w:p>
            <w:pPr>
              <w:widowControl/>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中共北京市委党校党史党建教研部副教授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9793" w:type="dxa"/>
            <w:gridSpan w:val="3"/>
            <w:shd w:val="clear" w:color="auto" w:fill="DCD8C2"/>
            <w:noWrap w:val="0"/>
            <w:vAlign w:val="center"/>
          </w:tcPr>
          <w:p>
            <w:pPr>
              <w:jc w:val="center"/>
              <w:textAlignment w:val="center"/>
              <w:rPr>
                <w:rFonts w:ascii="仿宋" w:hAnsi="仿宋" w:eastAsia="仿宋" w:cs="仿宋"/>
                <w:color w:val="000000"/>
                <w:kern w:val="0"/>
                <w:sz w:val="24"/>
                <w:szCs w:val="24"/>
              </w:rPr>
            </w:pPr>
            <w:r>
              <w:rPr>
                <w:rFonts w:hint="eastAsia" w:ascii="仿宋" w:hAnsi="仿宋" w:eastAsia="仿宋" w:cs="仿宋"/>
                <w:b/>
                <w:bCs/>
                <w:color w:val="000000"/>
                <w:sz w:val="24"/>
                <w:szCs w:val="24"/>
              </w:rPr>
              <w:t>（六）理想信念教育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“战疫一代”与中国未来</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廉  思</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对外经贸大学教授、中国青少年研究会副会长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理想信念——心中有了信仰，脚下才有力量</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石国亮</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首都师范大学马克思主义学院教授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追问信仰与共产党人的初心</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董振华</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永远奋斗，始终不忘党的品格</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冉  昊</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历代中国共产党人如何勇于担当</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王  莉</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b/>
                <w:bCs/>
                <w:sz w:val="24"/>
                <w:szCs w:val="24"/>
              </w:rPr>
            </w:pPr>
            <w:r>
              <w:rPr>
                <w:rFonts w:hint="eastAsia" w:ascii="仿宋" w:hAnsi="仿宋" w:eastAsia="仿宋" w:cs="仿宋"/>
                <w:color w:val="000000"/>
                <w:kern w:val="0"/>
                <w:sz w:val="24"/>
                <w:szCs w:val="24"/>
                <w:lang w:bidi="ar"/>
              </w:rPr>
              <w:t>旗帜鲜明，坚决反对历史虚无主义</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冉  昊</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中共中央党校（国家行政学院）副教授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9793" w:type="dxa"/>
            <w:gridSpan w:val="3"/>
            <w:shd w:val="clear" w:color="auto" w:fill="DCD8C2"/>
            <w:noWrap w:val="0"/>
            <w:vAlign w:val="center"/>
          </w:tcPr>
          <w:p>
            <w:pPr>
              <w:jc w:val="center"/>
              <w:rPr>
                <w:rFonts w:ascii="仿宋" w:hAnsi="仿宋" w:eastAsia="仿宋" w:cs="仿宋"/>
                <w:color w:val="000000"/>
                <w:kern w:val="0"/>
                <w:sz w:val="24"/>
                <w:szCs w:val="24"/>
              </w:rPr>
            </w:pPr>
            <w:r>
              <w:rPr>
                <w:rFonts w:hint="eastAsia" w:ascii="仿宋" w:hAnsi="仿宋" w:eastAsia="仿宋" w:cs="仿宋"/>
                <w:b/>
                <w:bCs/>
                <w:color w:val="000000"/>
                <w:sz w:val="24"/>
                <w:szCs w:val="24"/>
              </w:rPr>
              <w:t>（七）榜样示范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一堂党课——接续文心秀行 谱写青春华章</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2990" w:type="dxa"/>
            <w:noWrap w:val="0"/>
            <w:vAlign w:val="center"/>
          </w:tcPr>
          <w:p>
            <w:pPr>
              <w:widowControl/>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43" w:type="dxa"/>
          <w:trHeight w:val="567"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本色英雄张富清</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专题片</w:t>
            </w:r>
          </w:p>
        </w:tc>
        <w:tc>
          <w:tcPr>
            <w:tcW w:w="2990" w:type="dxa"/>
            <w:noWrap w:val="0"/>
            <w:vAlign w:val="center"/>
          </w:tcPr>
          <w:p>
            <w:pPr>
              <w:widowControl/>
              <w:jc w:val="left"/>
              <w:textAlignment w:val="center"/>
              <w:rPr>
                <w:rFonts w:ascii="仿宋" w:hAnsi="仿宋" w:eastAsia="仿宋" w:cs="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东风孕满怀 春伴梅花到——父亲郑效峰的红军岁月</w:t>
            </w:r>
          </w:p>
        </w:tc>
        <w:tc>
          <w:tcPr>
            <w:tcW w:w="1550" w:type="dxa"/>
            <w:noWrap w:val="0"/>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郑南东</w:t>
            </w:r>
          </w:p>
        </w:tc>
        <w:tc>
          <w:tcPr>
            <w:tcW w:w="2990" w:type="dxa"/>
            <w:noWrap w:val="0"/>
            <w:vAlign w:val="center"/>
          </w:tcPr>
          <w:p>
            <w:pPr>
              <w:widowControl/>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江西干部学院红军后代授课团成员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color w:val="FF0000"/>
                <w:sz w:val="24"/>
                <w:szCs w:val="24"/>
                <w:lang w:bidi="ar"/>
              </w:rPr>
            </w:pPr>
            <w:r>
              <w:rPr>
                <w:rFonts w:hint="eastAsia" w:ascii="仿宋" w:hAnsi="仿宋" w:eastAsia="仿宋" w:cs="仿宋"/>
                <w:color w:val="FF0000"/>
                <w:sz w:val="24"/>
                <w:szCs w:val="24"/>
                <w:lang w:bidi="ar"/>
              </w:rPr>
              <w:t>心路</w:t>
            </w:r>
            <w:r>
              <w:rPr>
                <w:rFonts w:ascii="仿宋" w:hAnsi="仿宋" w:eastAsia="仿宋" w:cs="仿宋"/>
                <w:color w:val="FF0000"/>
                <w:sz w:val="24"/>
                <w:szCs w:val="24"/>
                <w:lang w:bidi="ar"/>
              </w:rPr>
              <w:t>：邢福义先生治学育人访谈</w:t>
            </w:r>
          </w:p>
        </w:tc>
        <w:tc>
          <w:tcPr>
            <w:tcW w:w="1550" w:type="dxa"/>
            <w:noWrap w:val="0"/>
            <w:vAlign w:val="top"/>
          </w:tcPr>
          <w:p>
            <w:pPr>
              <w:widowControl/>
              <w:textAlignment w:val="bottom"/>
              <w:rPr>
                <w:rStyle w:val="12"/>
                <w:color w:val="FF0000"/>
                <w:sz w:val="24"/>
                <w:szCs w:val="24"/>
              </w:rPr>
            </w:pPr>
            <w:r>
              <w:rPr>
                <w:rStyle w:val="12"/>
                <w:rFonts w:hint="eastAsia"/>
                <w:color w:val="FF0000"/>
                <w:sz w:val="24"/>
                <w:szCs w:val="24"/>
              </w:rPr>
              <w:t>微视频</w:t>
            </w:r>
          </w:p>
        </w:tc>
        <w:tc>
          <w:tcPr>
            <w:tcW w:w="2990" w:type="dxa"/>
            <w:noWrap w:val="0"/>
            <w:vAlign w:val="top"/>
          </w:tcPr>
          <w:p>
            <w:pPr>
              <w:widowControl/>
              <w:textAlignment w:val="bottom"/>
              <w:rPr>
                <w:rStyle w:val="12"/>
                <w:color w:val="FF0000"/>
                <w:sz w:val="24"/>
                <w:szCs w:val="24"/>
              </w:rPr>
            </w:pPr>
            <w:r>
              <w:rPr>
                <w:rStyle w:val="12"/>
                <w:rFonts w:hint="eastAsia"/>
                <w:color w:val="FF0000"/>
                <w:sz w:val="24"/>
                <w:szCs w:val="24"/>
              </w:rPr>
              <w:t>华大</w:t>
            </w:r>
            <w:r>
              <w:rPr>
                <w:rStyle w:val="12"/>
                <w:color w:val="FF0000"/>
                <w:sz w:val="24"/>
                <w:szCs w:val="24"/>
              </w:rPr>
              <w:t>党校公众号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color w:val="FF0000"/>
                <w:sz w:val="24"/>
                <w:szCs w:val="24"/>
                <w:lang w:bidi="ar"/>
              </w:rPr>
            </w:pPr>
            <w:r>
              <w:rPr>
                <w:rFonts w:hint="eastAsia" w:ascii="仿宋" w:hAnsi="仿宋" w:eastAsia="仿宋" w:cs="仿宋"/>
                <w:color w:val="FF0000"/>
                <w:sz w:val="24"/>
                <w:szCs w:val="24"/>
                <w:lang w:bidi="ar"/>
              </w:rPr>
              <w:t>徐勇</w:t>
            </w:r>
            <w:r>
              <w:rPr>
                <w:rFonts w:ascii="仿宋" w:hAnsi="仿宋" w:eastAsia="仿宋" w:cs="仿宋"/>
                <w:color w:val="FF0000"/>
                <w:sz w:val="24"/>
                <w:szCs w:val="24"/>
                <w:lang w:bidi="ar"/>
              </w:rPr>
              <w:t>：行走在田野的政治学者</w:t>
            </w:r>
          </w:p>
        </w:tc>
        <w:tc>
          <w:tcPr>
            <w:tcW w:w="1550" w:type="dxa"/>
            <w:noWrap w:val="0"/>
            <w:vAlign w:val="top"/>
          </w:tcPr>
          <w:p>
            <w:pPr>
              <w:widowControl/>
              <w:textAlignment w:val="bottom"/>
              <w:rPr>
                <w:rStyle w:val="12"/>
                <w:color w:val="FF0000"/>
                <w:sz w:val="24"/>
                <w:szCs w:val="24"/>
              </w:rPr>
            </w:pPr>
            <w:r>
              <w:rPr>
                <w:rStyle w:val="12"/>
                <w:rFonts w:hint="eastAsia"/>
                <w:color w:val="FF0000"/>
                <w:sz w:val="24"/>
                <w:szCs w:val="24"/>
              </w:rPr>
              <w:t>微视频</w:t>
            </w:r>
          </w:p>
        </w:tc>
        <w:tc>
          <w:tcPr>
            <w:tcW w:w="2990" w:type="dxa"/>
            <w:noWrap w:val="0"/>
            <w:vAlign w:val="top"/>
          </w:tcPr>
          <w:p>
            <w:pPr>
              <w:widowControl/>
              <w:textAlignment w:val="bottom"/>
              <w:rPr>
                <w:rStyle w:val="12"/>
                <w:color w:val="FF0000"/>
                <w:sz w:val="24"/>
                <w:szCs w:val="24"/>
              </w:rPr>
            </w:pPr>
            <w:r>
              <w:rPr>
                <w:rStyle w:val="12"/>
                <w:rFonts w:hint="eastAsia"/>
                <w:color w:val="FF0000"/>
                <w:sz w:val="24"/>
                <w:szCs w:val="24"/>
              </w:rPr>
              <w:t>华大</w:t>
            </w:r>
            <w:r>
              <w:rPr>
                <w:rStyle w:val="12"/>
                <w:color w:val="FF0000"/>
                <w:sz w:val="24"/>
                <w:szCs w:val="24"/>
              </w:rPr>
              <w:t>党校公众号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color w:val="FF0000"/>
                <w:sz w:val="24"/>
                <w:szCs w:val="24"/>
                <w:lang w:bidi="ar"/>
              </w:rPr>
            </w:pPr>
            <w:r>
              <w:rPr>
                <w:rFonts w:hint="eastAsia" w:ascii="仿宋" w:hAnsi="仿宋" w:eastAsia="仿宋" w:cs="仿宋"/>
                <w:color w:val="FF0000"/>
                <w:sz w:val="24"/>
                <w:szCs w:val="24"/>
                <w:lang w:bidi="ar"/>
              </w:rPr>
              <w:t>向</w:t>
            </w:r>
            <w:r>
              <w:rPr>
                <w:rFonts w:ascii="仿宋" w:hAnsi="仿宋" w:eastAsia="仿宋" w:cs="仿宋"/>
                <w:color w:val="FF0000"/>
                <w:sz w:val="24"/>
                <w:szCs w:val="24"/>
                <w:lang w:bidi="ar"/>
              </w:rPr>
              <w:t>科学进军：刘</w:t>
            </w:r>
            <w:r>
              <w:rPr>
                <w:rFonts w:hint="eastAsia" w:ascii="仿宋" w:hAnsi="仿宋" w:eastAsia="仿宋" w:cs="仿宋"/>
                <w:color w:val="FF0000"/>
                <w:sz w:val="24"/>
                <w:szCs w:val="24"/>
                <w:lang w:bidi="ar"/>
              </w:rPr>
              <w:t>守</w:t>
            </w:r>
            <w:r>
              <w:rPr>
                <w:rFonts w:ascii="仿宋" w:hAnsi="仿宋" w:eastAsia="仿宋" w:cs="仿宋"/>
                <w:color w:val="FF0000"/>
                <w:sz w:val="24"/>
                <w:szCs w:val="24"/>
                <w:lang w:bidi="ar"/>
              </w:rPr>
              <w:t>华教授的入党故事</w:t>
            </w:r>
          </w:p>
        </w:tc>
        <w:tc>
          <w:tcPr>
            <w:tcW w:w="1550" w:type="dxa"/>
            <w:noWrap w:val="0"/>
            <w:vAlign w:val="top"/>
          </w:tcPr>
          <w:p>
            <w:pPr>
              <w:widowControl/>
              <w:textAlignment w:val="bottom"/>
              <w:rPr>
                <w:rStyle w:val="12"/>
                <w:color w:val="FF0000"/>
                <w:sz w:val="24"/>
                <w:szCs w:val="24"/>
              </w:rPr>
            </w:pPr>
            <w:r>
              <w:rPr>
                <w:rStyle w:val="12"/>
                <w:rFonts w:hint="eastAsia"/>
                <w:color w:val="FF0000"/>
                <w:sz w:val="24"/>
                <w:szCs w:val="24"/>
              </w:rPr>
              <w:t>微视频</w:t>
            </w:r>
          </w:p>
        </w:tc>
        <w:tc>
          <w:tcPr>
            <w:tcW w:w="2990" w:type="dxa"/>
            <w:noWrap w:val="0"/>
            <w:vAlign w:val="top"/>
          </w:tcPr>
          <w:p>
            <w:pPr>
              <w:widowControl/>
              <w:textAlignment w:val="bottom"/>
              <w:rPr>
                <w:rStyle w:val="12"/>
                <w:color w:val="FF0000"/>
                <w:sz w:val="24"/>
                <w:szCs w:val="24"/>
              </w:rPr>
            </w:pPr>
            <w:r>
              <w:rPr>
                <w:rStyle w:val="12"/>
                <w:rFonts w:hint="eastAsia"/>
                <w:color w:val="FF0000"/>
                <w:sz w:val="24"/>
                <w:szCs w:val="24"/>
              </w:rPr>
              <w:t>华大</w:t>
            </w:r>
            <w:r>
              <w:rPr>
                <w:rStyle w:val="12"/>
                <w:color w:val="FF0000"/>
                <w:sz w:val="24"/>
                <w:szCs w:val="24"/>
              </w:rPr>
              <w:t>党校公众号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3" w:type="dxa"/>
          <w:trHeight w:val="680" w:hRule="atLeast"/>
        </w:trPr>
        <w:tc>
          <w:tcPr>
            <w:tcW w:w="5253" w:type="dxa"/>
            <w:noWrap w:val="0"/>
            <w:vAlign w:val="center"/>
          </w:tcPr>
          <w:p>
            <w:pPr>
              <w:widowControl/>
              <w:textAlignment w:val="center"/>
              <w:rPr>
                <w:rFonts w:ascii="仿宋" w:hAnsi="仿宋" w:eastAsia="仿宋" w:cs="仿宋"/>
                <w:color w:val="FF0000"/>
                <w:sz w:val="24"/>
                <w:szCs w:val="24"/>
                <w:lang w:bidi="ar"/>
              </w:rPr>
            </w:pPr>
            <w:r>
              <w:rPr>
                <w:rFonts w:hint="eastAsia" w:ascii="仿宋" w:hAnsi="仿宋" w:eastAsia="仿宋" w:cs="仿宋"/>
                <w:color w:val="FF0000"/>
                <w:sz w:val="24"/>
                <w:szCs w:val="24"/>
                <w:lang w:bidi="ar"/>
              </w:rPr>
              <w:t>张耀灿</w:t>
            </w:r>
            <w:r>
              <w:rPr>
                <w:rFonts w:ascii="仿宋" w:hAnsi="仿宋" w:eastAsia="仿宋" w:cs="仿宋"/>
                <w:color w:val="FF0000"/>
                <w:sz w:val="24"/>
                <w:szCs w:val="24"/>
                <w:lang w:bidi="ar"/>
              </w:rPr>
              <w:t>：矢志不渝</w:t>
            </w:r>
            <w:r>
              <w:rPr>
                <w:rFonts w:hint="eastAsia" w:ascii="仿宋" w:hAnsi="仿宋" w:eastAsia="仿宋" w:cs="仿宋"/>
                <w:color w:val="FF0000"/>
                <w:sz w:val="24"/>
                <w:szCs w:val="24"/>
                <w:lang w:bidi="ar"/>
              </w:rPr>
              <w:t xml:space="preserve">  潜心</w:t>
            </w:r>
            <w:r>
              <w:rPr>
                <w:rFonts w:ascii="仿宋" w:hAnsi="仿宋" w:eastAsia="仿宋" w:cs="仿宋"/>
                <w:color w:val="FF0000"/>
                <w:sz w:val="24"/>
                <w:szCs w:val="24"/>
                <w:lang w:bidi="ar"/>
              </w:rPr>
              <w:t>问道</w:t>
            </w:r>
          </w:p>
        </w:tc>
        <w:tc>
          <w:tcPr>
            <w:tcW w:w="1550" w:type="dxa"/>
            <w:noWrap w:val="0"/>
            <w:vAlign w:val="top"/>
          </w:tcPr>
          <w:p>
            <w:pPr>
              <w:widowControl/>
              <w:textAlignment w:val="bottom"/>
              <w:rPr>
                <w:rStyle w:val="12"/>
                <w:color w:val="FF0000"/>
                <w:sz w:val="24"/>
                <w:szCs w:val="24"/>
              </w:rPr>
            </w:pPr>
            <w:r>
              <w:rPr>
                <w:rStyle w:val="12"/>
                <w:rFonts w:hint="eastAsia"/>
                <w:color w:val="FF0000"/>
                <w:sz w:val="24"/>
                <w:szCs w:val="24"/>
              </w:rPr>
              <w:t>微视频</w:t>
            </w:r>
          </w:p>
        </w:tc>
        <w:tc>
          <w:tcPr>
            <w:tcW w:w="2990" w:type="dxa"/>
            <w:noWrap w:val="0"/>
            <w:vAlign w:val="top"/>
          </w:tcPr>
          <w:p>
            <w:pPr>
              <w:widowControl/>
              <w:textAlignment w:val="bottom"/>
              <w:rPr>
                <w:rStyle w:val="12"/>
                <w:color w:val="FF0000"/>
                <w:sz w:val="24"/>
                <w:szCs w:val="24"/>
              </w:rPr>
            </w:pPr>
            <w:r>
              <w:rPr>
                <w:rStyle w:val="12"/>
                <w:rFonts w:hint="eastAsia"/>
                <w:color w:val="FF0000"/>
                <w:sz w:val="24"/>
                <w:szCs w:val="24"/>
              </w:rPr>
              <w:t>华大</w:t>
            </w:r>
            <w:r>
              <w:rPr>
                <w:rStyle w:val="12"/>
                <w:color w:val="FF0000"/>
                <w:sz w:val="24"/>
                <w:szCs w:val="24"/>
              </w:rPr>
              <w:t>党校公众号</w:t>
            </w:r>
          </w:p>
        </w:tc>
      </w:tr>
    </w:tbl>
    <w:p>
      <w:pPr>
        <w:ind w:firstLine="640" w:firstLineChars="200"/>
        <w:rPr>
          <w:rFonts w:hint="eastAsia" w:ascii="仿宋_GB2312" w:hAnsi="黑体"/>
        </w:rPr>
      </w:pPr>
    </w:p>
    <w:p>
      <w:pPr>
        <w:rPr>
          <w:rFonts w:hint="eastAsia"/>
        </w:rPr>
      </w:pPr>
    </w:p>
    <w:sectPr>
      <w:pgSz w:w="11906" w:h="16838"/>
      <w:pgMar w:top="1080" w:right="1157" w:bottom="1080" w:left="115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E0B79"/>
    <w:rsid w:val="110B081A"/>
    <w:rsid w:val="122F7F7F"/>
    <w:rsid w:val="37DE0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spacing w:before="100" w:beforeAutospacing="1" w:after="100" w:afterAutospacing="1"/>
      <w:ind w:firstLine="200" w:firstLineChars="200"/>
      <w:jc w:val="center"/>
      <w:outlineLvl w:val="0"/>
    </w:pPr>
    <w:rPr>
      <w:rFonts w:hint="eastAsia" w:ascii="宋体" w:hAnsi="宋体" w:eastAsia="华文中宋"/>
      <w:b/>
      <w:kern w:val="44"/>
      <w:sz w:val="36"/>
      <w:szCs w:val="4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4">
    <w:name w:val="footer"/>
    <w:uiPriority w:val="99"/>
    <w:pPr>
      <w:widowControl w:val="0"/>
      <w:tabs>
        <w:tab w:val="center" w:pos="4153"/>
        <w:tab w:val="right" w:pos="8306"/>
      </w:tabs>
      <w:snapToGrid w:val="0"/>
      <w:jc w:val="left"/>
    </w:pPr>
    <w:rPr>
      <w:rFonts w:ascii="Times New Roman" w:hAnsi="Times New Roman" w:eastAsia="仿宋_GB2312" w:cs="Times New Roman"/>
      <w:kern w:val="2"/>
      <w:sz w:val="18"/>
      <w:szCs w:val="18"/>
      <w:lang w:val="en-US" w:eastAsia="zh-CN" w:bidi="ar-SA"/>
    </w:rPr>
  </w:style>
  <w:style w:type="paragraph" w:styleId="5">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仿宋_GB2312" w:cs="Times New Roman"/>
      <w:kern w:val="2"/>
      <w:sz w:val="18"/>
      <w:szCs w:val="18"/>
      <w:lang w:val="en-US" w:eastAsia="zh-CN" w:bidi="ar-SA"/>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page number"/>
    <w:qFormat/>
    <w:uiPriority w:val="0"/>
  </w:style>
  <w:style w:type="character" w:customStyle="1" w:styleId="10">
    <w:name w:val="font31"/>
    <w:uiPriority w:val="0"/>
    <w:rPr>
      <w:rFonts w:hint="eastAsia" w:ascii="宋体" w:hAnsi="宋体" w:eastAsia="宋体" w:cs="宋体"/>
      <w:color w:val="000000"/>
      <w:sz w:val="24"/>
      <w:szCs w:val="24"/>
      <w:u w:val="none"/>
    </w:rPr>
  </w:style>
  <w:style w:type="character" w:customStyle="1" w:styleId="11">
    <w:name w:val="font01"/>
    <w:uiPriority w:val="0"/>
    <w:rPr>
      <w:rFonts w:hint="eastAsia" w:ascii="宋体" w:hAnsi="宋体" w:eastAsia="宋体" w:cs="宋体"/>
      <w:color w:val="000000"/>
      <w:sz w:val="22"/>
      <w:szCs w:val="22"/>
      <w:u w:val="none"/>
    </w:rPr>
  </w:style>
  <w:style w:type="character" w:customStyle="1" w:styleId="12">
    <w:name w:val="font111"/>
    <w:qFormat/>
    <w:uiPriority w:val="0"/>
    <w:rPr>
      <w:rFonts w:ascii="仿宋" w:hAnsi="仿宋" w:eastAsia="仿宋" w:cs="仿宋"/>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2022-01-06T00:31:00Z</dcterms:created>
  <dc:creator>陈哲</dc:creator>
  <cp:lastModifiedBy>陈哲</cp:lastModifiedBy>
  <dcterms:modified xsi:type="dcterms:W3CDTF">2022-01-06T00:39:54Z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