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exact"/>
        <w:ind w:right="-86" w:rightChars="-27" w:firstLine="0" w:firstLineChars="0"/>
        <w:jc w:val="left"/>
        <w:rPr>
          <w:rFonts w:hint="eastAsia" w:ascii="方正小标宋简体" w:hAnsi="方正小标宋简体" w:eastAsia="方正小标宋简体" w:cs="方正小标宋简体"/>
          <w:bCs/>
          <w:sz w:val="32"/>
          <w:szCs w:val="32"/>
          <w:lang w:val="en-US" w:eastAsia="zh-CN"/>
        </w:rPr>
      </w:pPr>
      <w:bookmarkStart w:id="0" w:name="_GoBack"/>
      <w:r>
        <w:rPr>
          <w:rFonts w:hint="eastAsia" w:ascii="方正小标宋简体" w:hAnsi="方正小标宋简体" w:eastAsia="方正小标宋简体" w:cs="方正小标宋简体"/>
          <w:bCs/>
          <w:sz w:val="32"/>
          <w:szCs w:val="32"/>
          <w:lang w:val="en-US" w:eastAsia="zh-CN"/>
        </w:rPr>
        <w:t>附件：  第23期教工入党积极分子培训班网络课程安排表</w:t>
      </w:r>
    </w:p>
    <w:bookmarkEnd w:id="0"/>
    <w:p>
      <w:pPr>
        <w:pStyle w:val="7"/>
        <w:spacing w:line="360" w:lineRule="exact"/>
        <w:ind w:right="-86" w:rightChars="-27" w:firstLine="0" w:firstLineChars="0"/>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30"/>
          <w:szCs w:val="30"/>
          <w:lang w:eastAsia="zh-CN"/>
        </w:rPr>
        <w:t>（</w:t>
      </w:r>
      <w:r>
        <w:rPr>
          <w:rFonts w:hint="eastAsia" w:ascii="方正小标宋简体" w:hAnsi="方正小标宋简体" w:eastAsia="方正小标宋简体" w:cs="方正小标宋简体"/>
          <w:bCs/>
          <w:sz w:val="30"/>
          <w:szCs w:val="30"/>
          <w:lang w:val="en-US" w:eastAsia="zh-CN"/>
        </w:rPr>
        <w:t>一</w:t>
      </w:r>
      <w:r>
        <w:rPr>
          <w:rFonts w:hint="eastAsia" w:ascii="方正小标宋简体" w:hAnsi="方正小标宋简体" w:eastAsia="方正小标宋简体" w:cs="方正小标宋简体"/>
          <w:bCs/>
          <w:sz w:val="30"/>
          <w:szCs w:val="30"/>
          <w:lang w:eastAsia="zh-CN"/>
        </w:rPr>
        <w:t>）</w:t>
      </w:r>
      <w:r>
        <w:rPr>
          <w:rFonts w:hint="eastAsia" w:ascii="方正小标宋简体" w:hAnsi="方正小标宋简体" w:eastAsia="方正小标宋简体" w:cs="方正小标宋简体"/>
          <w:bCs/>
          <w:sz w:val="30"/>
          <w:szCs w:val="30"/>
        </w:rPr>
        <w:t>必修课程列表</w:t>
      </w:r>
    </w:p>
    <w:tbl>
      <w:tblPr>
        <w:tblStyle w:val="5"/>
        <w:tblW w:w="8824" w:type="dxa"/>
        <w:tblInd w:w="0" w:type="dxa"/>
        <w:tblLayout w:type="fixed"/>
        <w:tblCellMar>
          <w:top w:w="0" w:type="dxa"/>
          <w:left w:w="108" w:type="dxa"/>
          <w:bottom w:w="0" w:type="dxa"/>
          <w:right w:w="108" w:type="dxa"/>
        </w:tblCellMar>
      </w:tblPr>
      <w:tblGrid>
        <w:gridCol w:w="4634"/>
        <w:gridCol w:w="946"/>
        <w:gridCol w:w="3244"/>
      </w:tblGrid>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课程名称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主讲人</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单位与职务</w:t>
            </w: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政治理论教育</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Style w:val="8"/>
                <w:rFonts w:hint="default" w:ascii="仿宋_GB2312" w:hAnsi="仿宋_GB2312" w:eastAsia="仿宋_GB2312" w:cs="仿宋_GB2312"/>
                <w:sz w:val="24"/>
                <w:szCs w:val="24"/>
                <w:lang w:bidi="ar"/>
              </w:rPr>
            </w:pPr>
            <w:r>
              <w:rPr>
                <w:rStyle w:val="8"/>
                <w:rFonts w:ascii="仿宋_GB2312" w:hAnsi="仿宋_GB2312" w:eastAsia="仿宋_GB2312" w:cs="仿宋_GB2312"/>
                <w:sz w:val="24"/>
                <w:szCs w:val="24"/>
                <w:lang w:bidi="ar"/>
              </w:rPr>
              <w:t>深入学习领会习近平总书记关于教育的重要论述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邓传淮</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教育部政策法规司司长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深刻理解习近平总书记关于教育的重要论述——坚持把服务中华民族伟大复兴作为教育的重要使命</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冯  培</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首都经济贸易大学原党委书记</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深刻理解新时代党的教育方针</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卢黎歌</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西安交通大学马克思主义学院二级教授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深入学习贯彻党的十九届六中全会精神</w:t>
            </w:r>
            <w:r>
              <w:rPr>
                <w:rStyle w:val="9"/>
                <w:rFonts w:hint="eastAsia" w:ascii="仿宋_GB2312" w:hAnsi="仿宋_GB2312" w:eastAsia="仿宋_GB2312" w:cs="仿宋_GB2312"/>
                <w:sz w:val="24"/>
                <w:szCs w:val="24"/>
                <w:lang w:bidi="ar"/>
              </w:rPr>
              <w:t>——</w:t>
            </w:r>
            <w:r>
              <w:rPr>
                <w:rStyle w:val="8"/>
                <w:rFonts w:ascii="仿宋_GB2312" w:hAnsi="仿宋_GB2312" w:eastAsia="仿宋_GB2312" w:cs="仿宋_GB2312"/>
                <w:sz w:val="24"/>
                <w:szCs w:val="24"/>
                <w:lang w:bidi="ar"/>
              </w:rPr>
              <w:t>从党的百年奋斗历史经验看人民教育千秋基业</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张  力</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国家教育咨询委员会秘书长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中国共产党领导高等教育百年历程</w:t>
            </w:r>
            <w:r>
              <w:rPr>
                <w:rStyle w:val="9"/>
                <w:rFonts w:hint="eastAsia" w:ascii="仿宋_GB2312" w:hAnsi="仿宋_GB2312" w:eastAsia="仿宋_GB2312" w:cs="仿宋_GB2312"/>
                <w:sz w:val="24"/>
                <w:szCs w:val="24"/>
                <w:lang w:bidi="ar"/>
              </w:rPr>
              <w:t>——</w:t>
            </w:r>
            <w:r>
              <w:rPr>
                <w:rStyle w:val="8"/>
                <w:rFonts w:ascii="仿宋_GB2312" w:hAnsi="仿宋_GB2312" w:eastAsia="仿宋_GB2312" w:cs="仿宋_GB2312"/>
                <w:sz w:val="24"/>
                <w:szCs w:val="24"/>
                <w:lang w:bidi="ar"/>
              </w:rPr>
              <w:t>发展脉络、历史经验、未来走向</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王定华</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教育部教师工作司原司长、北京外国语大学党委书记</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推进高校事业高质量发展</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王树国</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Style w:val="10"/>
                <w:rFonts w:ascii="仿宋_GB2312" w:hAnsi="仿宋_GB2312" w:eastAsia="仿宋_GB2312" w:cs="仿宋_GB2312"/>
                <w:sz w:val="24"/>
                <w:szCs w:val="24"/>
                <w:lang w:bidi="ar"/>
              </w:rPr>
              <w:t>西安交通大学校长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学习和理解习近平总书记多次强调</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国之大者</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的深刻内涵</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胡  敏</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中共中央党校（国家行政学院）研究员</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等线" w:eastAsia="仿宋_GB2312" w:cs="仿宋_GB2312"/>
                <w:i w:val="0"/>
                <w:iCs w:val="0"/>
                <w:color w:val="000000"/>
                <w:kern w:val="0"/>
                <w:sz w:val="24"/>
                <w:szCs w:val="24"/>
                <w:u w:val="none"/>
                <w:lang w:val="en-US" w:eastAsia="zh-CN" w:bidi="ar"/>
              </w:rPr>
            </w:pPr>
            <w:r>
              <w:rPr>
                <w:rFonts w:hint="default" w:ascii="仿宋_GB2312" w:hAnsi="等线" w:eastAsia="仿宋_GB2312" w:cs="仿宋_GB2312"/>
                <w:i w:val="0"/>
                <w:iCs w:val="0"/>
                <w:color w:val="000000"/>
                <w:kern w:val="0"/>
                <w:sz w:val="24"/>
                <w:szCs w:val="24"/>
                <w:u w:val="none"/>
                <w:lang w:val="en-US" w:eastAsia="zh-CN" w:bidi="ar"/>
              </w:rPr>
              <w:t>学习贯彻《中国共产党普通高等学校基层</w:t>
            </w:r>
          </w:p>
          <w:p>
            <w:pPr>
              <w:keepNext w:val="0"/>
              <w:keepLines w:val="0"/>
              <w:widowControl/>
              <w:suppressLineNumbers w:val="0"/>
              <w:jc w:val="left"/>
              <w:textAlignment w:val="center"/>
              <w:rPr>
                <w:rStyle w:val="11"/>
                <w:rFonts w:ascii="仿宋_GB2312" w:hAnsi="仿宋_GB2312" w:eastAsia="仿宋_GB2312" w:cs="仿宋_GB2312"/>
                <w:sz w:val="24"/>
                <w:szCs w:val="24"/>
                <w:lang w:bidi="ar"/>
              </w:rPr>
            </w:pPr>
            <w:r>
              <w:rPr>
                <w:rFonts w:hint="default" w:ascii="仿宋_GB2312" w:hAnsi="等线" w:eastAsia="仿宋_GB2312" w:cs="仿宋_GB2312"/>
                <w:i w:val="0"/>
                <w:iCs w:val="0"/>
                <w:color w:val="000000"/>
                <w:kern w:val="0"/>
                <w:sz w:val="24"/>
                <w:szCs w:val="24"/>
                <w:u w:val="none"/>
                <w:lang w:val="en-US" w:eastAsia="zh-CN" w:bidi="ar"/>
              </w:rPr>
              <w:t>组织工作条例》辅导报告</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default" w:ascii="仿宋_GB2312" w:hAnsi="等线" w:eastAsia="仿宋_GB2312" w:cs="仿宋_GB2312"/>
                <w:i w:val="0"/>
                <w:iCs w:val="0"/>
                <w:color w:val="000000"/>
                <w:kern w:val="0"/>
                <w:sz w:val="24"/>
                <w:szCs w:val="24"/>
                <w:u w:val="none"/>
                <w:lang w:val="en-US" w:eastAsia="zh-CN" w:bidi="ar"/>
              </w:rPr>
              <w:t>魏士强</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bidi="ar"/>
              </w:rPr>
            </w:pPr>
            <w:r>
              <w:rPr>
                <w:rFonts w:hint="default" w:ascii="仿宋_GB2312" w:hAnsi="等线" w:eastAsia="仿宋_GB2312" w:cs="仿宋_GB2312"/>
                <w:i w:val="0"/>
                <w:iCs w:val="0"/>
                <w:color w:val="000000"/>
                <w:kern w:val="0"/>
                <w:sz w:val="24"/>
                <w:szCs w:val="24"/>
                <w:u w:val="none"/>
                <w:lang w:val="en-US" w:eastAsia="zh-CN" w:bidi="ar"/>
              </w:rPr>
              <w:t>教育部思想政治工作司司长</w:t>
            </w: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深化党史学习教育</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Style w:val="11"/>
                <w:rFonts w:ascii="仿宋_GB2312" w:hAnsi="仿宋_GB2312" w:eastAsia="仿宋_GB2312" w:cs="仿宋_GB2312"/>
                <w:sz w:val="24"/>
                <w:szCs w:val="24"/>
                <w:lang w:bidi="ar"/>
              </w:rPr>
              <w:t>中国共产党的精神之源——坚持真理、坚守理想，践行初心、担当使命，不怕牺牲、英勇斗争，对党忠诚、不负人民的伟大建党精神</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胡  敏</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中共中央党校（国家行政学院）研究员</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党的十九届六中全会暨《中共中央关于党的百年奋斗重大成就和历史经验的决议》总体解读</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刘  春</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中国共产党与三个历史决议</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祝</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彦</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中共中央党校</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国家行政学院</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党的百年奋斗的历史经验：坚持党的领导</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陈凯龙</w:t>
            </w:r>
            <w:r>
              <w:rPr>
                <w:rStyle w:val="9"/>
                <w:rFonts w:hint="eastAsia" w:ascii="仿宋_GB2312" w:hAnsi="仿宋_GB2312" w:eastAsia="仿宋_GB2312" w:cs="仿宋_GB2312"/>
                <w:sz w:val="24"/>
                <w:szCs w:val="24"/>
                <w:lang w:bidi="ar"/>
              </w:rPr>
              <w:t xml:space="preserve"> </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中共中央党校</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国家行政学院</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党的百年奋斗的历史经验：坚持人民至上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仿宋_GB2312" w:eastAsia="仿宋_GB2312" w:cs="仿宋_GB2312"/>
                <w:color w:val="000000"/>
                <w:sz w:val="24"/>
                <w:szCs w:val="24"/>
              </w:rPr>
            </w:pPr>
            <w:r>
              <w:rPr>
                <w:rStyle w:val="9"/>
                <w:rFonts w:hint="eastAsia" w:ascii="仿宋_GB2312" w:hAnsi="仿宋_GB2312" w:eastAsia="仿宋_GB2312" w:cs="仿宋_GB2312"/>
                <w:sz w:val="24"/>
                <w:szCs w:val="24"/>
                <w:lang w:bidi="ar"/>
              </w:rPr>
              <w:t>邓</w:t>
            </w:r>
            <w:r>
              <w:rPr>
                <w:rStyle w:val="8"/>
                <w:rFonts w:ascii="仿宋_GB2312" w:hAnsi="仿宋_GB2312" w:eastAsia="仿宋_GB2312" w:cs="仿宋_GB2312"/>
                <w:sz w:val="24"/>
                <w:szCs w:val="24"/>
                <w:lang w:bidi="ar"/>
              </w:rPr>
              <w:t>纯东</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中国社会科学院马克思主义研究院原党委书记、院长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党的百年奋斗的历史经验：坚持理论创新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邓纯东</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中国社会科学院马克思主义研究院原党委书记、院长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党的百年奋斗的历史经验：坚持独立自主</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冯仲平</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中国社科院欧洲所所长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党的百年奋斗的历史经验：坚持中国道路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李  俭</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中共中央宣传部原思想政治工作研究所研究员</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党的百年奋斗的历史经验：坚持胸怀天下</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冯仲平</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中国社科院欧洲所所长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党的百年奋斗的历史经验：坚持开拓创新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李  俭</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中共中央宣传部原思想政治工作研究所研究员</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党的百年奋斗的历史经验：坚持敢于斗争</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刘宏毅</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中共中央党校（国家行政学院）国际和港澳培训中心原主任</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党的百年奋斗的历史经验：坚持统一战线</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刘宏毅</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中共中央党校（国家行政学院）国际和港澳培训中心原主任</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党的百年奋斗的历史经验：坚持自我革命</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陈凯龙</w:t>
            </w:r>
            <w:r>
              <w:rPr>
                <w:rStyle w:val="9"/>
                <w:rFonts w:hint="eastAsia" w:ascii="仿宋_GB2312" w:hAnsi="仿宋_GB2312" w:eastAsia="仿宋_GB2312" w:cs="仿宋_GB2312"/>
                <w:sz w:val="24"/>
                <w:szCs w:val="24"/>
                <w:lang w:bidi="ar"/>
              </w:rPr>
              <w:t xml:space="preserve"> </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中共中央党校</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国家行政学院</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中国特色社会主义制度为什么好</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辛向阳</w:t>
            </w:r>
            <w:r>
              <w:rPr>
                <w:rStyle w:val="12"/>
                <w:rFonts w:hint="eastAsia" w:ascii="仿宋_GB2312" w:hAnsi="仿宋_GB2312" w:eastAsia="仿宋_GB2312" w:cs="仿宋_GB2312"/>
                <w:sz w:val="24"/>
                <w:szCs w:val="24"/>
                <w:lang w:bidi="ar"/>
              </w:rPr>
              <w:t xml:space="preserve"> </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中国社会科学院马克思主义研究院党委书记、副院长</w:t>
            </w: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Style w:val="11"/>
                <w:rFonts w:ascii="仿宋_GB2312" w:hAnsi="仿宋_GB2312" w:eastAsia="仿宋_GB2312" w:cs="仿宋_GB2312"/>
                <w:b/>
                <w:bCs/>
                <w:sz w:val="24"/>
                <w:szCs w:val="24"/>
                <w:lang w:bidi="ar"/>
              </w:rPr>
              <w:t>党章和党的基本知识</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谈谈学习党章的方法</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以入党誓词为例</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高</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宁</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北京航空航天大学马克思主义学院分党委书记、教授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新时代中国共产党的历史使命</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王新生</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原中共中央党史研究室研究员</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延安整风与党的团结统一</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卢  毅</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中共中央党校（国家行</w:t>
            </w:r>
            <w:r>
              <w:rPr>
                <w:rStyle w:val="9"/>
                <w:rFonts w:hint="eastAsia" w:ascii="仿宋_GB2312" w:hAnsi="仿宋_GB2312" w:eastAsia="仿宋_GB2312" w:cs="仿宋_GB2312"/>
                <w:sz w:val="24"/>
                <w:szCs w:val="24"/>
                <w:lang w:bidi="ar"/>
              </w:rPr>
              <w:br w:type="textWrapping"/>
            </w:r>
            <w:r>
              <w:rPr>
                <w:rStyle w:val="8"/>
                <w:rFonts w:ascii="仿宋_GB2312" w:hAnsi="仿宋_GB2312" w:eastAsia="仿宋_GB2312" w:cs="仿宋_GB2312"/>
                <w:sz w:val="24"/>
                <w:szCs w:val="24"/>
                <w:lang w:bidi="ar"/>
              </w:rPr>
              <w:t>政学院）教授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血肉联系，始终与人民群众在一起</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李军鹏</w:t>
            </w:r>
            <w:r>
              <w:rPr>
                <w:rStyle w:val="9"/>
                <w:rFonts w:hint="eastAsia" w:ascii="仿宋_GB2312" w:hAnsi="仿宋_GB2312" w:eastAsia="仿宋_GB2312" w:cs="仿宋_GB2312"/>
                <w:sz w:val="24"/>
                <w:szCs w:val="24"/>
                <w:lang w:bidi="ar"/>
              </w:rPr>
              <w:t xml:space="preserve"> </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以伟大建党精神指引新征程</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微</w:t>
            </w:r>
            <w:r>
              <w:rPr>
                <w:rStyle w:val="9"/>
                <w:rFonts w:hint="eastAsia" w:ascii="仿宋_GB2312" w:hAnsi="仿宋_GB2312" w:eastAsia="仿宋_GB2312" w:cs="仿宋_GB2312"/>
                <w:sz w:val="24"/>
                <w:szCs w:val="24"/>
                <w:lang w:bidi="ar"/>
              </w:rPr>
              <w:t xml:space="preserve">  </w:t>
            </w:r>
            <w:r>
              <w:rPr>
                <w:rStyle w:val="8"/>
                <w:rFonts w:ascii="仿宋_GB2312" w:hAnsi="仿宋_GB2312" w:eastAsia="仿宋_GB2312" w:cs="仿宋_GB2312"/>
                <w:sz w:val="24"/>
                <w:szCs w:val="24"/>
                <w:lang w:bidi="ar"/>
              </w:rPr>
              <w:t>课</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爱国主义和理想信念教育</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弘扬西迁精神，矢志爱国奋斗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洪向华</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新时代如何弘扬爱国主义精神</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马振清</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北京师范大学马克思主义学院教授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中国特色社会主义制度的显著优势：全国一盘棋，能集中力量办大事</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洪向华</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理想信念是共产党人精神之</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钙</w:t>
            </w:r>
            <w:r>
              <w:rPr>
                <w:rStyle w:val="12"/>
                <w:rFonts w:hint="eastAsia" w:ascii="仿宋_GB2312" w:hAnsi="仿宋_GB2312" w:eastAsia="仿宋_GB2312" w:cs="仿宋_GB2312"/>
                <w:sz w:val="24"/>
                <w:szCs w:val="24"/>
                <w:lang w:bidi="ar"/>
              </w:rP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周</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莉</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东北大学党校副校长、副教授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从《习近平的七年知青岁月》看中国共产党人的初心与使命</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陈冬生</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color w:val="000000"/>
                <w:kern w:val="0"/>
                <w:sz w:val="24"/>
                <w:szCs w:val="24"/>
                <w:lang w:bidi="ar"/>
              </w:rPr>
            </w:pPr>
            <w:r>
              <w:rPr>
                <w:rStyle w:val="11"/>
                <w:rFonts w:ascii="仿宋_GB2312" w:hAnsi="仿宋_GB2312" w:eastAsia="仿宋_GB2312" w:cs="仿宋_GB2312"/>
                <w:b/>
                <w:bCs/>
                <w:sz w:val="24"/>
                <w:szCs w:val="24"/>
                <w:lang w:bidi="ar"/>
              </w:rPr>
              <w:t>形势政策教育</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坚持习近平法治思想——深入学习贯彻习近平总书记在中央全面依法治国工作会议上重要讲话精神</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胡锦光</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中国人民大学法学院</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Style w:val="11"/>
                <w:rFonts w:ascii="仿宋_GB2312" w:hAnsi="仿宋_GB2312" w:eastAsia="仿宋_GB2312" w:cs="仿宋_GB2312"/>
                <w:sz w:val="24"/>
                <w:szCs w:val="24"/>
                <w:lang w:bidi="ar"/>
              </w:rPr>
              <w:t>铸牢中华民族共同体意识</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推进党的民族工作高质量发展</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学习习近平总书记</w:t>
            </w:r>
            <w:r>
              <w:rPr>
                <w:rStyle w:val="12"/>
                <w:rFonts w:hint="eastAsia" w:ascii="仿宋_GB2312" w:hAnsi="仿宋_GB2312" w:eastAsia="仿宋_GB2312" w:cs="仿宋_GB2312"/>
                <w:sz w:val="24"/>
                <w:szCs w:val="24"/>
                <w:lang w:bidi="ar"/>
              </w:rPr>
              <w:t>2021</w:t>
            </w:r>
            <w:r>
              <w:rPr>
                <w:rStyle w:val="11"/>
                <w:rFonts w:ascii="仿宋_GB2312" w:hAnsi="仿宋_GB2312" w:eastAsia="仿宋_GB2312" w:cs="仿宋_GB2312"/>
                <w:sz w:val="24"/>
                <w:szCs w:val="24"/>
                <w:lang w:bidi="ar"/>
              </w:rPr>
              <w:t>年中央民族工作会议讲话精神</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  军</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中央民族大学中国民族理论与民族政策研究院副院长</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百年大变局下国际战略形势的走向分析</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苏</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浩</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外交学院教授</w:t>
            </w:r>
          </w:p>
        </w:tc>
      </w:tr>
      <w:tr>
        <w:tblPrEx>
          <w:tblCellMar>
            <w:top w:w="0" w:type="dxa"/>
            <w:left w:w="108" w:type="dxa"/>
            <w:bottom w:w="0" w:type="dxa"/>
            <w:right w:w="108" w:type="dxa"/>
          </w:tblCellMar>
        </w:tblPrEx>
        <w:trPr>
          <w:trHeight w:val="652"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坚持马克思主义在意识形态领域指导地位的根本制度，牢牢掌握意识形态工作领导权、管理权、话语权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洪向华</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中共中央党校（国家行政学院）教授</w:t>
            </w:r>
          </w:p>
        </w:tc>
      </w:tr>
      <w:tr>
        <w:tblPrEx>
          <w:tblCellMar>
            <w:top w:w="0" w:type="dxa"/>
            <w:left w:w="108" w:type="dxa"/>
            <w:bottom w:w="0" w:type="dxa"/>
            <w:right w:w="108" w:type="dxa"/>
          </w:tblCellMar>
        </w:tblPrEx>
        <w:trPr>
          <w:trHeight w:val="652" w:hRule="atLeast"/>
        </w:trPr>
        <w:tc>
          <w:tcPr>
            <w:tcW w:w="8824"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Style w:val="11"/>
                <w:rFonts w:ascii="仿宋_GB2312" w:hAnsi="仿宋_GB2312" w:eastAsia="仿宋_GB2312" w:cs="仿宋_GB2312"/>
                <w:b/>
                <w:bCs/>
                <w:sz w:val="24"/>
                <w:szCs w:val="24"/>
                <w:lang w:bidi="ar"/>
              </w:rPr>
              <w:t>岗位示范引领</w:t>
            </w:r>
          </w:p>
        </w:tc>
      </w:tr>
      <w:tr>
        <w:tblPrEx>
          <w:tblCellMar>
            <w:top w:w="0" w:type="dxa"/>
            <w:left w:w="108" w:type="dxa"/>
            <w:bottom w:w="0" w:type="dxa"/>
            <w:right w:w="108" w:type="dxa"/>
          </w:tblCellMar>
        </w:tblPrEx>
        <w:trPr>
          <w:trHeight w:val="624"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教学名师谈成长</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我的成长经历、思考与体会</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赵春明</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北京师范大学校级教学指导委员会主任、教授</w:t>
            </w:r>
          </w:p>
        </w:tc>
      </w:tr>
      <w:tr>
        <w:tblPrEx>
          <w:tblCellMar>
            <w:top w:w="0" w:type="dxa"/>
            <w:left w:w="108" w:type="dxa"/>
            <w:bottom w:w="0" w:type="dxa"/>
            <w:right w:w="108" w:type="dxa"/>
          </w:tblCellMar>
        </w:tblPrEx>
        <w:trPr>
          <w:trHeight w:val="624"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新时代教师的使命、责任与担当</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郑  萼</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首都师范大学原党委书记</w:t>
            </w:r>
          </w:p>
        </w:tc>
      </w:tr>
      <w:tr>
        <w:tblPrEx>
          <w:tblCellMar>
            <w:top w:w="0" w:type="dxa"/>
            <w:left w:w="108" w:type="dxa"/>
            <w:bottom w:w="0" w:type="dxa"/>
            <w:right w:w="108" w:type="dxa"/>
          </w:tblCellMar>
        </w:tblPrEx>
        <w:trPr>
          <w:trHeight w:val="624"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Style w:val="8"/>
                <w:rFonts w:ascii="仿宋_GB2312" w:hAnsi="仿宋_GB2312" w:eastAsia="仿宋_GB2312" w:cs="仿宋_GB2312"/>
                <w:sz w:val="24"/>
                <w:szCs w:val="24"/>
                <w:lang w:bidi="ar"/>
              </w:rPr>
              <w:t>教学名师谈成长</w:t>
            </w:r>
            <w:r>
              <w:rPr>
                <w:rStyle w:val="9"/>
                <w:rFonts w:hint="eastAsia" w:ascii="仿宋_GB2312" w:hAnsi="仿宋_GB2312" w:eastAsia="仿宋_GB2312" w:cs="仿宋_GB2312"/>
                <w:sz w:val="24"/>
                <w:szCs w:val="24"/>
                <w:lang w:bidi="ar"/>
              </w:rPr>
              <w:t>——</w:t>
            </w:r>
            <w:r>
              <w:rPr>
                <w:rStyle w:val="8"/>
                <w:rFonts w:ascii="仿宋_GB2312" w:hAnsi="仿宋_GB2312" w:eastAsia="仿宋_GB2312" w:cs="仿宋_GB2312"/>
                <w:sz w:val="24"/>
                <w:szCs w:val="24"/>
                <w:lang w:bidi="ar"/>
              </w:rPr>
              <w:t>我的从师之道</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桑新民</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南京大学教授</w:t>
            </w:r>
          </w:p>
        </w:tc>
      </w:tr>
      <w:tr>
        <w:tblPrEx>
          <w:tblCellMar>
            <w:top w:w="0" w:type="dxa"/>
            <w:left w:w="108" w:type="dxa"/>
            <w:bottom w:w="0" w:type="dxa"/>
            <w:right w:w="108" w:type="dxa"/>
          </w:tblCellMar>
        </w:tblPrEx>
        <w:trPr>
          <w:trHeight w:val="624"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如何成为一名学生喜爱的老师</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姚小玲</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全国师德先进个人、北京航空航天大学教授</w:t>
            </w:r>
          </w:p>
        </w:tc>
      </w:tr>
      <w:tr>
        <w:tblPrEx>
          <w:tblCellMar>
            <w:top w:w="0" w:type="dxa"/>
            <w:left w:w="108" w:type="dxa"/>
            <w:bottom w:w="0" w:type="dxa"/>
            <w:right w:w="108" w:type="dxa"/>
          </w:tblCellMar>
        </w:tblPrEx>
        <w:trPr>
          <w:trHeight w:val="624" w:hRule="atLeast"/>
        </w:trPr>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Style w:val="11"/>
                <w:rFonts w:ascii="仿宋_GB2312" w:hAnsi="仿宋_GB2312" w:eastAsia="仿宋_GB2312" w:cs="仿宋_GB2312"/>
                <w:sz w:val="24"/>
                <w:szCs w:val="24"/>
                <w:lang w:bidi="ar"/>
              </w:rPr>
              <w:t>张桂梅：</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燃灯</w:t>
            </w:r>
            <w:r>
              <w:rPr>
                <w:rStyle w:val="12"/>
                <w:rFonts w:hint="eastAsia" w:ascii="仿宋_GB2312" w:hAnsi="仿宋_GB2312" w:eastAsia="仿宋_GB2312" w:cs="仿宋_GB2312"/>
                <w:sz w:val="24"/>
                <w:szCs w:val="24"/>
                <w:lang w:bidi="ar"/>
              </w:rPr>
              <w:t>”</w:t>
            </w:r>
            <w:r>
              <w:rPr>
                <w:rStyle w:val="11"/>
                <w:rFonts w:ascii="仿宋_GB2312" w:hAnsi="仿宋_GB2312" w:eastAsia="仿宋_GB2312" w:cs="仿宋_GB2312"/>
                <w:sz w:val="24"/>
                <w:szCs w:val="24"/>
                <w:lang w:bidi="ar"/>
              </w:rPr>
              <w:t>校长</w:t>
            </w:r>
            <w:r>
              <w:rPr>
                <w:rStyle w:val="12"/>
                <w:rFonts w:hint="eastAsia" w:ascii="仿宋_GB2312" w:hAnsi="仿宋_GB2312" w:eastAsia="仿宋_GB2312" w:cs="仿宋_GB2312"/>
                <w:sz w:val="24"/>
                <w:szCs w:val="24"/>
                <w:lang w:bidi="ar"/>
              </w:rPr>
              <w:t xml:space="preserve"> </w:t>
            </w:r>
            <w:r>
              <w:rPr>
                <w:rStyle w:val="11"/>
                <w:rFonts w:ascii="仿宋_GB2312" w:hAnsi="仿宋_GB2312" w:eastAsia="仿宋_GB2312" w:cs="仿宋_GB2312"/>
                <w:sz w:val="24"/>
                <w:szCs w:val="24"/>
                <w:lang w:bidi="ar"/>
              </w:rPr>
              <w:t>大山妈妈</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专题片</w:t>
            </w:r>
          </w:p>
        </w:tc>
        <w:tc>
          <w:tcPr>
            <w:tcW w:w="3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r>
    </w:tbl>
    <w:p>
      <w:pPr>
        <w:spacing w:line="360" w:lineRule="auto"/>
        <w:ind w:right="160" w:rightChars="50"/>
        <w:jc w:val="left"/>
        <w:rPr>
          <w:rFonts w:ascii="方正小标宋简体" w:hAnsi="方正小标宋简体" w:eastAsia="方正小标宋简体" w:cs="方正小标宋简体"/>
          <w:bCs/>
          <w:color w:val="000000"/>
          <w:sz w:val="30"/>
          <w:szCs w:val="30"/>
        </w:rPr>
      </w:pPr>
    </w:p>
    <w:p>
      <w:pPr>
        <w:spacing w:after="156" w:afterLines="50" w:line="360" w:lineRule="exact"/>
        <w:jc w:val="center"/>
        <w:rPr>
          <w:rFonts w:ascii="方正小标宋简体" w:hAnsi="方正小标宋简体" w:eastAsia="方正小标宋简体" w:cs="方正小标宋简体"/>
          <w:bCs/>
          <w:color w:val="000000"/>
          <w:sz w:val="30"/>
          <w:szCs w:val="30"/>
        </w:rPr>
      </w:pPr>
      <w:r>
        <w:rPr>
          <w:rFonts w:hint="eastAsia" w:ascii="方正小标宋简体" w:hAnsi="方正小标宋简体" w:eastAsia="方正小标宋简体" w:cs="方正小标宋简体"/>
          <w:bCs/>
          <w:color w:val="000000"/>
          <w:sz w:val="30"/>
          <w:szCs w:val="30"/>
          <w:lang w:eastAsia="zh-CN"/>
        </w:rPr>
        <w:t>（</w:t>
      </w:r>
      <w:r>
        <w:rPr>
          <w:rFonts w:hint="eastAsia" w:ascii="方正小标宋简体" w:hAnsi="方正小标宋简体" w:eastAsia="方正小标宋简体" w:cs="方正小标宋简体"/>
          <w:bCs/>
          <w:color w:val="000000"/>
          <w:sz w:val="30"/>
          <w:szCs w:val="30"/>
          <w:lang w:val="en-US" w:eastAsia="zh-CN"/>
        </w:rPr>
        <w:t>二</w:t>
      </w:r>
      <w:r>
        <w:rPr>
          <w:rFonts w:hint="eastAsia" w:ascii="方正小标宋简体" w:hAnsi="方正小标宋简体" w:eastAsia="方正小标宋简体" w:cs="方正小标宋简体"/>
          <w:bCs/>
          <w:color w:val="000000"/>
          <w:sz w:val="30"/>
          <w:szCs w:val="30"/>
          <w:lang w:eastAsia="zh-CN"/>
        </w:rPr>
        <w:t>）</w:t>
      </w:r>
      <w:r>
        <w:rPr>
          <w:rFonts w:hint="eastAsia" w:ascii="方正小标宋简体" w:hAnsi="方正小标宋简体" w:eastAsia="方正小标宋简体" w:cs="方正小标宋简体"/>
          <w:bCs/>
          <w:color w:val="000000"/>
          <w:sz w:val="30"/>
          <w:szCs w:val="30"/>
        </w:rPr>
        <w:t>选修课程列表</w:t>
      </w:r>
    </w:p>
    <w:tbl>
      <w:tblPr>
        <w:tblStyle w:val="5"/>
        <w:tblW w:w="8839" w:type="dxa"/>
        <w:tblInd w:w="-14" w:type="dxa"/>
        <w:tblLayout w:type="fixed"/>
        <w:tblCellMar>
          <w:top w:w="0" w:type="dxa"/>
          <w:left w:w="108" w:type="dxa"/>
          <w:bottom w:w="0" w:type="dxa"/>
          <w:right w:w="108" w:type="dxa"/>
        </w:tblCellMar>
      </w:tblPr>
      <w:tblGrid>
        <w:gridCol w:w="4627"/>
        <w:gridCol w:w="958"/>
        <w:gridCol w:w="3254"/>
      </w:tblGrid>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课程名称</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主讲人</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单位与职务</w:t>
            </w:r>
          </w:p>
        </w:tc>
      </w:tr>
      <w:tr>
        <w:tblPrEx>
          <w:tblCellMar>
            <w:top w:w="0" w:type="dxa"/>
            <w:left w:w="108" w:type="dxa"/>
            <w:bottom w:w="0" w:type="dxa"/>
            <w:right w:w="108" w:type="dxa"/>
          </w:tblCellMar>
        </w:tblPrEx>
        <w:trPr>
          <w:trHeight w:val="624" w:hRule="atLeast"/>
        </w:trPr>
        <w:tc>
          <w:tcPr>
            <w:tcW w:w="8839"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教学与科研能力提升</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国家级教学成果奖的透析与培育</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邱化民</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北京师范大学助理研究员</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高校教师能力提升——以学生为中心的教育理念与教学策略 </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庞海芍</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北京理工大学人文与社会科学学院研究员</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教育教学实践与立德树人</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徐  蓉</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同济大学马克思主义学院院长、教授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科学研究及一般程序</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张伟刚</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南开大学教授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如何用科研成果反哺与促进教学</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李凤霞</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北京理工大学教授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教学创新与课程思政的关系</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周屈兰</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西安交通大学教授</w:t>
            </w:r>
          </w:p>
        </w:tc>
      </w:tr>
      <w:tr>
        <w:tblPrEx>
          <w:tblCellMar>
            <w:top w:w="0" w:type="dxa"/>
            <w:left w:w="108" w:type="dxa"/>
            <w:bottom w:w="0" w:type="dxa"/>
            <w:right w:w="108" w:type="dxa"/>
          </w:tblCellMar>
        </w:tblPrEx>
        <w:trPr>
          <w:trHeight w:val="624" w:hRule="atLeast"/>
        </w:trPr>
        <w:tc>
          <w:tcPr>
            <w:tcW w:w="8839"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心理健康调适与压力管理</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关注心理健康 做大学生成才的心灵导师</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宁维卫</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西南交通大学心理研究与咨询中心教授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新时代高校教师心理健康与压力管理</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梁宁建</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华东师范大学心理与认知科学学院教授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做好压力疏导 促进学生健康成长</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李旭珊</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北京理工大学心理健康教育与咨询中心主任</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调节情绪的有效方法</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黄  峥</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中国科学院心理研究所副教授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师生沟通的艺术</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唐思群</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华东师大教育科学学院教育学系教师</w:t>
            </w:r>
          </w:p>
        </w:tc>
      </w:tr>
      <w:tr>
        <w:tblPrEx>
          <w:tblCellMar>
            <w:top w:w="0" w:type="dxa"/>
            <w:left w:w="108" w:type="dxa"/>
            <w:bottom w:w="0" w:type="dxa"/>
            <w:right w:w="108" w:type="dxa"/>
          </w:tblCellMar>
        </w:tblPrEx>
        <w:trPr>
          <w:trHeight w:val="624" w:hRule="atLeast"/>
        </w:trPr>
        <w:tc>
          <w:tcPr>
            <w:tcW w:w="8839" w:type="dxa"/>
            <w:gridSpan w:val="3"/>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职业发展与职业规划</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教师职业形象</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兰  霞</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国家级普通话水平测试员、华中农业大学文法学院教师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教师优雅举止仪态</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任兰兰</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ascii="Times New Roman" w:hAnsi="Times New Roman" w:eastAsia="仿宋_GB2312"/>
                <w:color w:val="000000"/>
                <w:kern w:val="0"/>
                <w:sz w:val="24"/>
                <w:szCs w:val="24"/>
                <w:lang w:bidi="ar"/>
              </w:rPr>
              <w:t>ITS</w:t>
            </w:r>
            <w:r>
              <w:rPr>
                <w:rFonts w:hint="eastAsia" w:ascii="仿宋_GB2312" w:hAnsi="仿宋_GB2312" w:eastAsia="仿宋_GB2312" w:cs="仿宋_GB2312"/>
                <w:color w:val="000000"/>
                <w:kern w:val="0"/>
                <w:sz w:val="24"/>
                <w:szCs w:val="24"/>
                <w:lang w:bidi="ar"/>
              </w:rPr>
              <w:t>国际培训学会常委兼宣传部长</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高校师生关系的合理定位及交往策略</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赵丽琴</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北京工业大学教授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教师生涯感悟——高校教师职业养成与个人能力提升</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王移芝</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北京交通大学计算机与信息学院教授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自我探索与职业发展</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顾雪英</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南京师范大学教授</w:t>
            </w:r>
          </w:p>
        </w:tc>
      </w:tr>
      <w:tr>
        <w:tblPrEx>
          <w:tblCellMar>
            <w:top w:w="0" w:type="dxa"/>
            <w:left w:w="108" w:type="dxa"/>
            <w:bottom w:w="0" w:type="dxa"/>
            <w:right w:w="108" w:type="dxa"/>
          </w:tblCellMar>
        </w:tblPrEx>
        <w:trPr>
          <w:trHeight w:val="624" w:hRule="atLeast"/>
        </w:trPr>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青年教师的沟通与职业发展</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刘平青</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北京理工大学教授</w:t>
            </w:r>
          </w:p>
        </w:tc>
      </w:tr>
    </w:tbl>
    <w:p>
      <w:pPr>
        <w:pStyle w:val="7"/>
        <w:spacing w:line="360" w:lineRule="exact"/>
        <w:ind w:right="-86" w:rightChars="-27" w:firstLine="0" w:firstLineChars="0"/>
        <w:rPr>
          <w:rFonts w:hint="eastAsia" w:ascii="楷体" w:hAnsi="楷体" w:eastAsia="楷体" w:cs="楷体"/>
          <w:color w:val="auto"/>
        </w:rPr>
      </w:pPr>
      <w:r>
        <w:rPr>
          <w:rFonts w:hint="eastAsia" w:ascii="楷体" w:hAnsi="楷体" w:eastAsia="楷体" w:cs="楷体"/>
          <w:color w:val="auto"/>
        </w:rPr>
        <w:t>说明：1.个别课程或稍有调整，请以平台最终发布课程为准；</w:t>
      </w:r>
    </w:p>
    <w:p>
      <w:pPr>
        <w:spacing w:line="360" w:lineRule="auto"/>
        <w:ind w:right="160" w:rightChars="50" w:firstLine="720" w:firstLineChars="300"/>
        <w:jc w:val="left"/>
      </w:pPr>
      <w:r>
        <w:rPr>
          <w:rFonts w:hint="eastAsia" w:ascii="楷体" w:hAnsi="楷体" w:eastAsia="楷体" w:cs="楷体"/>
          <w:color w:val="auto"/>
          <w:kern w:val="2"/>
          <w:sz w:val="24"/>
          <w:szCs w:val="22"/>
          <w:lang w:val="en-US" w:eastAsia="zh-CN" w:bidi="ar-SA"/>
        </w:rPr>
        <w:t>2.课程主讲人职务为课程录制时的职务。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F219E"/>
    <w:rsid w:val="6DCF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 w:type="character" w:customStyle="1" w:styleId="8">
    <w:name w:val="font41"/>
    <w:basedOn w:val="6"/>
    <w:qFormat/>
    <w:uiPriority w:val="0"/>
    <w:rPr>
      <w:rFonts w:hint="default" w:ascii="Times New Roman" w:hAnsi="Times New Roman" w:cs="Times New Roman"/>
      <w:color w:val="000000"/>
      <w:sz w:val="22"/>
      <w:szCs w:val="22"/>
      <w:u w:val="none"/>
    </w:rPr>
  </w:style>
  <w:style w:type="character" w:customStyle="1" w:styleId="9">
    <w:name w:val="font01"/>
    <w:basedOn w:val="6"/>
    <w:qFormat/>
    <w:uiPriority w:val="0"/>
    <w:rPr>
      <w:rFonts w:hint="default" w:ascii="Times New Roman" w:hAnsi="Times New Roman" w:cs="Times New Roman"/>
      <w:color w:val="000000"/>
      <w:sz w:val="22"/>
      <w:szCs w:val="22"/>
      <w:u w:val="none"/>
    </w:rPr>
  </w:style>
  <w:style w:type="character" w:customStyle="1" w:styleId="10">
    <w:name w:val="font51"/>
    <w:basedOn w:val="6"/>
    <w:qFormat/>
    <w:uiPriority w:val="0"/>
    <w:rPr>
      <w:rFonts w:hint="eastAsia" w:ascii="微软雅黑" w:hAnsi="微软雅黑" w:eastAsia="微软雅黑" w:cs="微软雅黑"/>
      <w:color w:val="000000"/>
      <w:sz w:val="22"/>
      <w:szCs w:val="22"/>
      <w:u w:val="none"/>
    </w:rPr>
  </w:style>
  <w:style w:type="character" w:customStyle="1" w:styleId="11">
    <w:name w:val="font31"/>
    <w:basedOn w:val="6"/>
    <w:qFormat/>
    <w:uiPriority w:val="0"/>
    <w:rPr>
      <w:rFonts w:hint="eastAsia" w:ascii="微软雅黑" w:hAnsi="微软雅黑" w:eastAsia="微软雅黑" w:cs="微软雅黑"/>
      <w:color w:val="000000"/>
      <w:sz w:val="22"/>
      <w:szCs w:val="22"/>
      <w:u w:val="none"/>
    </w:rPr>
  </w:style>
  <w:style w:type="character" w:customStyle="1" w:styleId="12">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2022-04-08T01:15:00Z</dcterms:created>
  <dc:creator>党校助理</dc:creator>
  <cp:lastModifiedBy>党校助理</cp:lastModifiedBy>
  <dcterms:modified xsi:type="dcterms:W3CDTF">2022-04-08T02:06:22Z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AD9AE0E36E724935BF3545185D24F68C</vt:lpwstr>
  </property>
</Properties>
</file>